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7B" w:rsidRDefault="00F14F7B" w:rsidP="00F14F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9" name="obrázek 1" descr="NOVÝ KRAMOLÍN-znak-barva-jpg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Ý KRAMOLÍN-znak-barva-jpg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AA" w:rsidRDefault="00025FAA" w:rsidP="00F14F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25FAA" w:rsidRDefault="00025FAA" w:rsidP="00F14F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14F7B" w:rsidRDefault="00F14F7B" w:rsidP="00F14F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Vnitřní směrnice č.10/2017 obce Nový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Kramolín</w:t>
      </w:r>
      <w:proofErr w:type="spellEnd"/>
    </w:p>
    <w:p w:rsidR="00F14F7B" w:rsidRDefault="00F14F7B" w:rsidP="00F14F7B">
      <w:pPr>
        <w:pStyle w:val="Nadpis1"/>
      </w:pPr>
      <w:r>
        <w:t>o  </w:t>
      </w:r>
      <w:proofErr w:type="gramStart"/>
      <w:r>
        <w:t>fondovému hospodaření</w:t>
      </w:r>
      <w:proofErr w:type="gramEnd"/>
      <w:r>
        <w:t xml:space="preserve"> příspěvkové organizace mateřské školy Nový </w:t>
      </w:r>
      <w:proofErr w:type="spellStart"/>
      <w:r>
        <w:t>Kramolín</w:t>
      </w:r>
      <w:proofErr w:type="spellEnd"/>
    </w:p>
    <w:p w:rsidR="00F14F7B" w:rsidRDefault="00F14F7B" w:rsidP="00F14F7B">
      <w:pPr>
        <w:autoSpaceDE w:val="0"/>
        <w:autoSpaceDN w:val="0"/>
        <w:adjustRightInd w:val="0"/>
        <w:jc w:val="center"/>
        <w:rPr>
          <w:b/>
          <w:bCs/>
        </w:rPr>
      </w:pPr>
    </w:p>
    <w:p w:rsid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OBSAH:</w:t>
      </w:r>
    </w:p>
    <w:p w:rsid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.Legislativní</w:t>
      </w:r>
      <w:proofErr w:type="gramEnd"/>
      <w:r>
        <w:rPr>
          <w:rFonts w:ascii="Times New Roman" w:hAnsi="Times New Roman"/>
          <w:sz w:val="24"/>
          <w:szCs w:val="24"/>
        </w:rPr>
        <w:t xml:space="preserve"> rámec</w:t>
      </w:r>
    </w:p>
    <w:p w:rsid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II.Předmět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směrnice</w:t>
      </w:r>
    </w:p>
    <w:p w:rsidR="00F14F7B" w:rsidRP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r w:rsidRPr="00F14F7B">
        <w:rPr>
          <w:rFonts w:ascii="Times New Roman" w:hAnsi="Times New Roman"/>
          <w:sz w:val="24"/>
          <w:szCs w:val="24"/>
        </w:rPr>
        <w:t>III.</w:t>
      </w:r>
      <w:r w:rsidRPr="00F14F7B">
        <w:rPr>
          <w:rFonts w:ascii="Times New Roman" w:hAnsi="Times New Roman"/>
          <w:bCs/>
          <w:sz w:val="24"/>
          <w:szCs w:val="24"/>
        </w:rPr>
        <w:t xml:space="preserve"> Fondy příspěvkové organizace zřízené ÚSC</w:t>
      </w:r>
      <w:r w:rsidRPr="00F14F7B">
        <w:rPr>
          <w:rFonts w:ascii="Times New Roman" w:hAnsi="Times New Roman"/>
          <w:sz w:val="24"/>
          <w:szCs w:val="24"/>
        </w:rPr>
        <w:t xml:space="preserve"> </w:t>
      </w:r>
    </w:p>
    <w:p w:rsid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IV.Závěrečná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ustanovení</w:t>
      </w:r>
    </w:p>
    <w:p w:rsid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</w:p>
    <w:p w:rsidR="007A5A12" w:rsidRDefault="007A5A12"/>
    <w:p w:rsidR="007A5A12" w:rsidRDefault="007A5A12"/>
    <w:p w:rsidR="007A5A12" w:rsidRDefault="007A5A12"/>
    <w:p w:rsidR="00F14F7B" w:rsidRPr="00F14F7B" w:rsidRDefault="00F14F7B" w:rsidP="00F14F7B">
      <w:pPr>
        <w:jc w:val="center"/>
        <w:rPr>
          <w:b/>
        </w:rPr>
      </w:pPr>
      <w:proofErr w:type="spellStart"/>
      <w:proofErr w:type="gramStart"/>
      <w:r w:rsidRPr="00F14F7B">
        <w:rPr>
          <w:b/>
        </w:rPr>
        <w:t>I</w:t>
      </w:r>
      <w:proofErr w:type="spellEnd"/>
      <w:r w:rsidRPr="00F14F7B">
        <w:rPr>
          <w:b/>
        </w:rPr>
        <w:t>.Legislativní</w:t>
      </w:r>
      <w:proofErr w:type="gramEnd"/>
      <w:r w:rsidRPr="00F14F7B">
        <w:rPr>
          <w:b/>
        </w:rPr>
        <w:t xml:space="preserve"> rámec</w:t>
      </w:r>
    </w:p>
    <w:p w:rsidR="00F14F7B" w:rsidRDefault="00F14F7B" w:rsidP="00F14F7B">
      <w:pPr>
        <w:pStyle w:val="Odstavecseseznamem"/>
        <w:numPr>
          <w:ilvl w:val="0"/>
          <w:numId w:val="13"/>
        </w:numPr>
        <w:spacing w:before="120"/>
        <w:jc w:val="both"/>
      </w:pPr>
      <w:r>
        <w:t xml:space="preserve">č. 250/2000 Sb., </w:t>
      </w:r>
      <w:r w:rsidRPr="00076A3B">
        <w:t>o rozpočtových pravidlech územních rozpočtů</w:t>
      </w:r>
    </w:p>
    <w:p w:rsidR="00F14F7B" w:rsidRDefault="00F14F7B" w:rsidP="00F14F7B">
      <w:pPr>
        <w:pStyle w:val="Odstavecseseznamem"/>
        <w:numPr>
          <w:ilvl w:val="0"/>
          <w:numId w:val="13"/>
        </w:numPr>
        <w:spacing w:before="120"/>
        <w:jc w:val="both"/>
      </w:pPr>
      <w:r>
        <w:t xml:space="preserve"> vyhláška č. </w:t>
      </w:r>
      <w:r w:rsidRPr="00076A3B">
        <w:t>410/2009 Sb., kterou se provádějí některá ustanovení zákona č. 563/1991 Sb., o účetnictví, ve znění pozdějších předpisů, pro některé vybrané účetní jednotky</w:t>
      </w:r>
    </w:p>
    <w:p w:rsidR="00F14F7B" w:rsidRDefault="00F14F7B" w:rsidP="00F14F7B">
      <w:pPr>
        <w:pStyle w:val="Odstavecseseznamem"/>
        <w:numPr>
          <w:ilvl w:val="0"/>
          <w:numId w:val="13"/>
        </w:numPr>
        <w:spacing w:before="120"/>
        <w:jc w:val="both"/>
      </w:pPr>
      <w:r>
        <w:t>č</w:t>
      </w:r>
      <w:r w:rsidRPr="00076A3B">
        <w:t>eský</w:t>
      </w:r>
      <w:r>
        <w:t>m</w:t>
      </w:r>
      <w:r w:rsidRPr="00076A3B">
        <w:t xml:space="preserve"> účetní</w:t>
      </w:r>
      <w:r>
        <w:t>m</w:t>
      </w:r>
      <w:r w:rsidRPr="00076A3B">
        <w:t xml:space="preserve"> standard</w:t>
      </w:r>
      <w:r>
        <w:t>em</w:t>
      </w:r>
      <w:r w:rsidRPr="00076A3B">
        <w:t xml:space="preserve"> pro některé vybrané účetní jednotky č. 704</w:t>
      </w:r>
    </w:p>
    <w:p w:rsidR="00F14F7B" w:rsidRDefault="00F14F7B"/>
    <w:p w:rsidR="00F14F7B" w:rsidRDefault="00F14F7B"/>
    <w:p w:rsidR="007A5A12" w:rsidRPr="00F26EB6" w:rsidRDefault="00F14F7B" w:rsidP="00F14F7B">
      <w:pPr>
        <w:tabs>
          <w:tab w:val="left" w:pos="2505"/>
        </w:tabs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II.</w:t>
      </w:r>
      <w:r w:rsidR="007A5A12" w:rsidRPr="00F26EB6">
        <w:rPr>
          <w:b/>
          <w:bCs/>
        </w:rPr>
        <w:t>Předmět</w:t>
      </w:r>
      <w:proofErr w:type="spellEnd"/>
      <w:proofErr w:type="gramEnd"/>
      <w:r w:rsidR="007A5A12" w:rsidRPr="00F26EB6">
        <w:rPr>
          <w:b/>
          <w:bCs/>
        </w:rPr>
        <w:t xml:space="preserve"> úpravy</w:t>
      </w:r>
    </w:p>
    <w:p w:rsidR="00F14F7B" w:rsidRDefault="007A5A12" w:rsidP="00F14F7B">
      <w:pPr>
        <w:pStyle w:val="Odstavecseseznamem"/>
        <w:numPr>
          <w:ilvl w:val="0"/>
          <w:numId w:val="15"/>
        </w:numPr>
        <w:spacing w:before="120"/>
        <w:jc w:val="both"/>
      </w:pPr>
      <w:r>
        <w:t>Ustanovení této směrnice se vztahuje k fondovému hospodaření</w:t>
      </w:r>
      <w:r w:rsidR="00337AD9">
        <w:t>.</w:t>
      </w:r>
    </w:p>
    <w:p w:rsidR="00C302BE" w:rsidRDefault="00F14F7B" w:rsidP="00F14F7B">
      <w:pPr>
        <w:pStyle w:val="Odstavecseseznamem"/>
        <w:numPr>
          <w:ilvl w:val="0"/>
          <w:numId w:val="14"/>
        </w:numPr>
        <w:spacing w:before="120"/>
        <w:jc w:val="both"/>
      </w:pPr>
      <w:r>
        <w:t>U</w:t>
      </w:r>
      <w:r w:rsidR="00C302BE">
        <w:t>pravuje nakládání s následujícími peněžními fondy:</w:t>
      </w:r>
    </w:p>
    <w:p w:rsidR="00231BB8" w:rsidRDefault="00C302BE" w:rsidP="00F14F7B">
      <w:pPr>
        <w:pStyle w:val="Odstavecseseznamem"/>
        <w:numPr>
          <w:ilvl w:val="0"/>
          <w:numId w:val="17"/>
        </w:numPr>
        <w:tabs>
          <w:tab w:val="left" w:pos="900"/>
        </w:tabs>
        <w:spacing w:before="120"/>
        <w:jc w:val="both"/>
      </w:pPr>
      <w:r>
        <w:t xml:space="preserve">rezervní fond tvořený ze zlepšeného výsledku hospodaření </w:t>
      </w:r>
    </w:p>
    <w:p w:rsidR="00C302BE" w:rsidRDefault="00C302BE" w:rsidP="00F14F7B">
      <w:pPr>
        <w:pStyle w:val="Odstavecseseznamem"/>
        <w:numPr>
          <w:ilvl w:val="0"/>
          <w:numId w:val="17"/>
        </w:numPr>
        <w:tabs>
          <w:tab w:val="left" w:pos="900"/>
        </w:tabs>
        <w:spacing w:before="120"/>
        <w:jc w:val="both"/>
      </w:pPr>
      <w:r>
        <w:t xml:space="preserve">rezervní fond z ostatních titulů </w:t>
      </w:r>
    </w:p>
    <w:p w:rsidR="00033288" w:rsidRDefault="00033288" w:rsidP="00F14F7B">
      <w:pPr>
        <w:pStyle w:val="Odstavecseseznamem"/>
        <w:numPr>
          <w:ilvl w:val="0"/>
          <w:numId w:val="17"/>
        </w:numPr>
        <w:tabs>
          <w:tab w:val="left" w:pos="900"/>
        </w:tabs>
        <w:spacing w:before="120"/>
        <w:jc w:val="both"/>
      </w:pPr>
      <w:r>
        <w:t>fond odměn</w:t>
      </w:r>
    </w:p>
    <w:p w:rsidR="00033288" w:rsidRDefault="00033288" w:rsidP="00033288">
      <w:pPr>
        <w:tabs>
          <w:tab w:val="left" w:pos="900"/>
        </w:tabs>
        <w:spacing w:before="120"/>
        <w:ind w:left="896"/>
        <w:jc w:val="both"/>
      </w:pPr>
    </w:p>
    <w:p w:rsidR="007A5A12" w:rsidRPr="00F26EB6" w:rsidRDefault="00F14F7B" w:rsidP="00F14F7B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III. </w:t>
      </w:r>
      <w:r w:rsidR="00C302BE">
        <w:rPr>
          <w:b/>
          <w:bCs/>
        </w:rPr>
        <w:t>Fondy příspěvkové organizace zřízené ÚSC</w:t>
      </w:r>
    </w:p>
    <w:p w:rsidR="00033288" w:rsidRPr="00033288" w:rsidRDefault="00F14F7B" w:rsidP="00F14F7B">
      <w:pPr>
        <w:pStyle w:val="Odstavecseseznamem"/>
        <w:numPr>
          <w:ilvl w:val="0"/>
          <w:numId w:val="14"/>
        </w:numPr>
        <w:spacing w:before="120"/>
      </w:pPr>
      <w:r w:rsidRPr="00F14F7B">
        <w:rPr>
          <w:b/>
          <w:bCs/>
        </w:rPr>
        <w:t>f</w:t>
      </w:r>
      <w:r w:rsidR="00C735F7" w:rsidRPr="00F14F7B">
        <w:rPr>
          <w:b/>
          <w:bCs/>
        </w:rPr>
        <w:t>ond rezervní tvořený ze zlepšeného výsledku hospodaření</w:t>
      </w:r>
      <w:r w:rsidR="00033288" w:rsidRPr="00F14F7B">
        <w:rPr>
          <w:b/>
          <w:bCs/>
        </w:rPr>
        <w:t xml:space="preserve"> </w:t>
      </w:r>
    </w:p>
    <w:p w:rsidR="00033288" w:rsidRDefault="00033288" w:rsidP="00033288">
      <w:pPr>
        <w:spacing w:before="120"/>
        <w:ind w:left="540"/>
      </w:pPr>
      <w:r>
        <w:t>Rezervní fond se tvoří ze zlepšeného výsledku hospodaření příspěvkové organizace na základě schválení jeho výše zřizovatelem po skončení roku, sníženého o případné převody do fondu odměn. Zlepšený výsledek hospodaření příspěvkové organizace je vytvořen tehdy, jestliže skutečné výnosy jejího hospodaření jsou spolu s přijatým provozním příspěvkem větší než její provozní náklady. Rozdělení zlepšeného výsledku hospodaření do rezervního fondu a do fondu odměn schvaluje zřizovatel. Zdrojem rezervního fondu mohou být též peněžní dary a prostředky převedené podle § 28 odst. 3.</w:t>
      </w:r>
      <w:r w:rsidRPr="00033288">
        <w:t xml:space="preserve"> </w:t>
      </w:r>
      <w:r>
        <w:t>zákona č. 250/2000 Sb.</w:t>
      </w:r>
    </w:p>
    <w:p w:rsidR="00F14F7B" w:rsidRPr="00033288" w:rsidRDefault="00F14F7B" w:rsidP="00033288">
      <w:pPr>
        <w:spacing w:before="120"/>
        <w:ind w:left="540"/>
      </w:pPr>
    </w:p>
    <w:p w:rsidR="00F14F7B" w:rsidRPr="00F14F7B" w:rsidRDefault="00F14F7B" w:rsidP="00F14F7B">
      <w:pPr>
        <w:pStyle w:val="Odstavecseseznamem"/>
        <w:spacing w:before="120"/>
      </w:pPr>
    </w:p>
    <w:p w:rsidR="00F14F7B" w:rsidRPr="00F14F7B" w:rsidRDefault="00F14F7B" w:rsidP="00F14F7B">
      <w:pPr>
        <w:pStyle w:val="Odstavecseseznamem"/>
        <w:spacing w:before="120"/>
      </w:pPr>
    </w:p>
    <w:p w:rsidR="00196F00" w:rsidRPr="00196F00" w:rsidRDefault="00F14F7B" w:rsidP="00F14F7B">
      <w:pPr>
        <w:pStyle w:val="Odstavecseseznamem"/>
        <w:numPr>
          <w:ilvl w:val="0"/>
          <w:numId w:val="14"/>
        </w:numPr>
        <w:spacing w:before="120"/>
      </w:pPr>
      <w:r>
        <w:rPr>
          <w:b/>
          <w:bCs/>
        </w:rPr>
        <w:t>f</w:t>
      </w:r>
      <w:r w:rsidR="00076A3B" w:rsidRPr="00F14F7B">
        <w:rPr>
          <w:b/>
          <w:bCs/>
        </w:rPr>
        <w:t>ond rezervní z ostatních titulů</w:t>
      </w:r>
    </w:p>
    <w:p w:rsidR="006750B3" w:rsidRDefault="006750B3" w:rsidP="006750B3">
      <w:pPr>
        <w:spacing w:before="120"/>
        <w:ind w:left="540"/>
        <w:jc w:val="both"/>
      </w:pPr>
      <w:r>
        <w:t xml:space="preserve">Rezervní </w:t>
      </w:r>
      <w:proofErr w:type="gramStart"/>
      <w:r>
        <w:t>fond</w:t>
      </w:r>
      <w:r w:rsidR="00033288">
        <w:t xml:space="preserve"> </w:t>
      </w:r>
      <w:r>
        <w:t xml:space="preserve"> používá</w:t>
      </w:r>
      <w:proofErr w:type="gramEnd"/>
      <w:r>
        <w:t xml:space="preserve"> příspěvková organizace k dalšímu rozvoji své činnosti, k časovému překlenutí dočasného nesouladu mezi výnosy a náklady, k úhradě případných sankcí uložených jí za porušení rozpočtové kázně, k úhradě své ztráty za předchozí léta.</w:t>
      </w:r>
    </w:p>
    <w:p w:rsidR="00033288" w:rsidRDefault="00033288" w:rsidP="006750B3">
      <w:pPr>
        <w:spacing w:before="120"/>
        <w:ind w:left="540"/>
        <w:jc w:val="both"/>
      </w:pPr>
    </w:p>
    <w:p w:rsidR="00033288" w:rsidRPr="00196F00" w:rsidRDefault="00F14F7B" w:rsidP="00F14F7B">
      <w:pPr>
        <w:pStyle w:val="Odstavecseseznamem"/>
        <w:numPr>
          <w:ilvl w:val="0"/>
          <w:numId w:val="14"/>
        </w:numPr>
        <w:spacing w:before="120"/>
        <w:jc w:val="both"/>
      </w:pPr>
      <w:r>
        <w:rPr>
          <w:b/>
          <w:bCs/>
        </w:rPr>
        <w:t>f</w:t>
      </w:r>
      <w:r w:rsidR="00033288" w:rsidRPr="00F14F7B">
        <w:rPr>
          <w:b/>
          <w:bCs/>
        </w:rPr>
        <w:t>ond odměn</w:t>
      </w:r>
    </w:p>
    <w:p w:rsidR="00033288" w:rsidRDefault="00033288" w:rsidP="00033288">
      <w:pPr>
        <w:spacing w:before="120"/>
        <w:ind w:left="540"/>
        <w:jc w:val="both"/>
      </w:pPr>
      <w:r>
        <w:t xml:space="preserve">Fond odměn je tvořen ze zlepšeného výsledku hospodaření příspěvkové </w:t>
      </w:r>
      <w:proofErr w:type="gramStart"/>
      <w:r>
        <w:t>organizace</w:t>
      </w:r>
      <w:r w:rsidR="00231BB8">
        <w:t xml:space="preserve"> . </w:t>
      </w:r>
      <w:r>
        <w:t>Tvorbu</w:t>
      </w:r>
      <w:proofErr w:type="gramEnd"/>
      <w:r>
        <w:t xml:space="preserve"> fondu odměn provede příspěvková organizace na základě schválení výše zlepšeného výsledku hospodaření a jeho rozdělení zřizovatelem. Z fondu odměn se hradí odměny zaměstnancům. Přednostně se z fondu odměn hradí případné překročení prostředků na platy, jehož výše se zjišťuje podle zvláštního právního předpisu.</w:t>
      </w:r>
    </w:p>
    <w:p w:rsidR="00033288" w:rsidRDefault="00033288" w:rsidP="006750B3">
      <w:pPr>
        <w:spacing w:before="120"/>
        <w:ind w:left="540"/>
        <w:jc w:val="both"/>
      </w:pPr>
    </w:p>
    <w:p w:rsidR="00F14F7B" w:rsidRPr="00EA1ED1" w:rsidRDefault="00F14F7B" w:rsidP="00F14F7B">
      <w:pPr>
        <w:pStyle w:val="Bezmezer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r w:rsidRPr="00EA1ED1">
        <w:rPr>
          <w:rFonts w:ascii="Times New Roman" w:hAnsi="Times New Roman"/>
          <w:b/>
          <w:sz w:val="24"/>
          <w:szCs w:val="24"/>
        </w:rPr>
        <w:t>.Závěrečná</w:t>
      </w:r>
      <w:proofErr w:type="spellEnd"/>
      <w:proofErr w:type="gramEnd"/>
      <w:r w:rsidRPr="00EA1ED1">
        <w:rPr>
          <w:rFonts w:ascii="Times New Roman" w:hAnsi="Times New Roman"/>
          <w:b/>
          <w:sz w:val="24"/>
          <w:szCs w:val="24"/>
        </w:rPr>
        <w:t xml:space="preserve"> ustanovení</w:t>
      </w:r>
    </w:p>
    <w:p w:rsidR="00F14F7B" w:rsidRPr="00EA1ED1" w:rsidRDefault="00F14F7B" w:rsidP="00F14F7B">
      <w:pPr>
        <w:jc w:val="center"/>
        <w:rPr>
          <w:b/>
        </w:rPr>
      </w:pPr>
    </w:p>
    <w:p w:rsidR="00F14F7B" w:rsidRPr="000E35FD" w:rsidRDefault="00F14F7B" w:rsidP="00F14F7B">
      <w:r w:rsidRPr="000E35FD">
        <w:t>Kontrolu dodržování této směrnice provádí starosta nebo jím pověření pracovníci kontroly.</w:t>
      </w:r>
    </w:p>
    <w:p w:rsidR="00F14F7B" w:rsidRPr="000E35FD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</w:p>
    <w:p w:rsid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 xml:space="preserve">Tato směrnice č.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0E35FD">
        <w:rPr>
          <w:rFonts w:ascii="Times New Roman" w:hAnsi="Times New Roman"/>
          <w:sz w:val="24"/>
          <w:szCs w:val="24"/>
        </w:rPr>
        <w:t xml:space="preserve">/2017 byla projednána a následně schválena na zasedání zastupitelstva obce Nový </w:t>
      </w:r>
      <w:proofErr w:type="spellStart"/>
      <w:r w:rsidRPr="000E35FD">
        <w:rPr>
          <w:rFonts w:ascii="Times New Roman" w:hAnsi="Times New Roman"/>
          <w:sz w:val="24"/>
          <w:szCs w:val="24"/>
        </w:rPr>
        <w:t>Kramolín</w:t>
      </w:r>
      <w:proofErr w:type="spellEnd"/>
      <w:r w:rsidRPr="000E35FD">
        <w:rPr>
          <w:rFonts w:ascii="Times New Roman" w:hAnsi="Times New Roman"/>
          <w:sz w:val="24"/>
          <w:szCs w:val="24"/>
        </w:rPr>
        <w:t xml:space="preserve"> dne </w:t>
      </w:r>
      <w:r w:rsidR="00E8256D">
        <w:rPr>
          <w:rFonts w:ascii="Times New Roman" w:hAnsi="Times New Roman"/>
          <w:sz w:val="24"/>
          <w:szCs w:val="24"/>
        </w:rPr>
        <w:t>4.8.2017</w:t>
      </w:r>
    </w:p>
    <w:p w:rsidR="00F14F7B" w:rsidRPr="000E35FD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se zrušuje vnitřní směrnice č. 1/2014</w:t>
      </w:r>
    </w:p>
    <w:p w:rsidR="00F14F7B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 xml:space="preserve">Směrnice nabývá účinnost dnem schválením. </w:t>
      </w:r>
    </w:p>
    <w:p w:rsidR="00F14F7B" w:rsidRPr="000E35FD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</w:p>
    <w:p w:rsidR="00F14F7B" w:rsidRPr="000E35FD" w:rsidRDefault="00F14F7B" w:rsidP="00F14F7B">
      <w:pPr>
        <w:pStyle w:val="Bezmezer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>Vyhotovila Chmelíková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15.</w:t>
      </w:r>
      <w:r w:rsidR="0084542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.2017</w:t>
      </w:r>
      <w:proofErr w:type="gramEnd"/>
    </w:p>
    <w:p w:rsidR="00F14F7B" w:rsidRDefault="00F14F7B" w:rsidP="00F14F7B">
      <w:pPr>
        <w:pStyle w:val="Bezmezer"/>
      </w:pPr>
    </w:p>
    <w:p w:rsidR="00F14F7B" w:rsidRDefault="00F14F7B" w:rsidP="00F14F7B">
      <w:pPr>
        <w:pStyle w:val="Bezmezer"/>
      </w:pPr>
    </w:p>
    <w:p w:rsidR="00F14F7B" w:rsidRDefault="00F14F7B" w:rsidP="00F14F7B">
      <w:pPr>
        <w:pStyle w:val="Bezmezer"/>
      </w:pPr>
    </w:p>
    <w:p w:rsidR="00F14F7B" w:rsidRDefault="00F14F7B" w:rsidP="00F14F7B">
      <w:pPr>
        <w:pStyle w:val="Bezmezer"/>
      </w:pPr>
    </w:p>
    <w:p w:rsidR="00F14F7B" w:rsidRDefault="00F14F7B" w:rsidP="00F14F7B">
      <w:pPr>
        <w:pStyle w:val="Odstavecseseznamem"/>
        <w:ind w:left="0"/>
        <w:rPr>
          <w:b/>
        </w:rPr>
      </w:pPr>
      <w:r w:rsidRPr="008D7783">
        <w:rPr>
          <w:b/>
        </w:rPr>
        <w:t>…………………………………</w:t>
      </w:r>
      <w:r>
        <w:rPr>
          <w:b/>
        </w:rPr>
        <w:t xml:space="preserve">                                    ………………………………</w:t>
      </w:r>
    </w:p>
    <w:p w:rsidR="00F14F7B" w:rsidRPr="008D7783" w:rsidRDefault="00F14F7B" w:rsidP="00F14F7B">
      <w:pPr>
        <w:pStyle w:val="Odstavecseseznamem"/>
        <w:ind w:left="0"/>
        <w:rPr>
          <w:b/>
        </w:rPr>
      </w:pPr>
    </w:p>
    <w:p w:rsidR="00F14F7B" w:rsidRPr="008D7783" w:rsidRDefault="00F14F7B" w:rsidP="00F14F7B">
      <w:pPr>
        <w:pStyle w:val="Odstavecseseznamem"/>
        <w:ind w:left="0"/>
      </w:pPr>
      <w:r>
        <w:t xml:space="preserve">              </w:t>
      </w:r>
      <w:r w:rsidRPr="008D7783">
        <w:t xml:space="preserve">Pavel </w:t>
      </w:r>
      <w:proofErr w:type="gramStart"/>
      <w:r w:rsidRPr="008D7783">
        <w:t>Sokol                                                                       Jan</w:t>
      </w:r>
      <w:proofErr w:type="gramEnd"/>
      <w:r w:rsidRPr="008D7783">
        <w:t xml:space="preserve"> Buršík</w:t>
      </w:r>
    </w:p>
    <w:p w:rsidR="00F14F7B" w:rsidRPr="008D7783" w:rsidRDefault="00F14F7B" w:rsidP="00F14F7B">
      <w:pPr>
        <w:pStyle w:val="Odstavecseseznamem"/>
        <w:ind w:left="0"/>
      </w:pPr>
      <w:r>
        <w:t xml:space="preserve">           </w:t>
      </w:r>
      <w:r w:rsidRPr="008D7783">
        <w:t xml:space="preserve">Místostarosta </w:t>
      </w:r>
      <w:proofErr w:type="gramStart"/>
      <w:r w:rsidRPr="008D7783">
        <w:t>obce                                                              Starosta</w:t>
      </w:r>
      <w:proofErr w:type="gramEnd"/>
      <w:r w:rsidRPr="008D7783">
        <w:t xml:space="preserve"> obce                                    </w:t>
      </w:r>
    </w:p>
    <w:p w:rsidR="00F14F7B" w:rsidRPr="00F64561" w:rsidRDefault="00F14F7B" w:rsidP="00F14F7B">
      <w:pPr>
        <w:jc w:val="center"/>
        <w:rPr>
          <w:b/>
        </w:rPr>
      </w:pPr>
    </w:p>
    <w:p w:rsidR="00F14F7B" w:rsidRPr="00A0583B" w:rsidRDefault="00F14F7B" w:rsidP="006750B3">
      <w:pPr>
        <w:spacing w:before="120"/>
        <w:ind w:left="540"/>
        <w:jc w:val="both"/>
      </w:pPr>
    </w:p>
    <w:sectPr w:rsidR="00F14F7B" w:rsidRPr="00A0583B" w:rsidSect="003C25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CE" w:rsidRDefault="007465CE" w:rsidP="00025FAA">
      <w:r>
        <w:separator/>
      </w:r>
    </w:p>
  </w:endnote>
  <w:endnote w:type="continuationSeparator" w:id="0">
    <w:p w:rsidR="007465CE" w:rsidRDefault="007465CE" w:rsidP="0002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CE" w:rsidRDefault="007465CE" w:rsidP="00025FAA">
      <w:r>
        <w:separator/>
      </w:r>
    </w:p>
  </w:footnote>
  <w:footnote w:type="continuationSeparator" w:id="0">
    <w:p w:rsidR="007465CE" w:rsidRDefault="007465CE" w:rsidP="00025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46"/>
      <w:docPartObj>
        <w:docPartGallery w:val="Page Numbers (Top of Page)"/>
        <w:docPartUnique/>
      </w:docPartObj>
    </w:sdtPr>
    <w:sdtContent>
      <w:p w:rsidR="00025FAA" w:rsidRDefault="00B57A39">
        <w:pPr>
          <w:pStyle w:val="Zhlav"/>
          <w:jc w:val="center"/>
        </w:pPr>
        <w:fldSimple w:instr=" PAGE   \* MERGEFORMAT ">
          <w:r w:rsidR="00E8256D">
            <w:rPr>
              <w:noProof/>
            </w:rPr>
            <w:t>2</w:t>
          </w:r>
        </w:fldSimple>
      </w:p>
    </w:sdtContent>
  </w:sdt>
  <w:p w:rsidR="00025FAA" w:rsidRDefault="00025F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4B9"/>
    <w:multiLevelType w:val="hybridMultilevel"/>
    <w:tmpl w:val="FE5CDE32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2C2D8B"/>
    <w:multiLevelType w:val="multilevel"/>
    <w:tmpl w:val="663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5DB2"/>
    <w:multiLevelType w:val="multilevel"/>
    <w:tmpl w:val="2CB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4B09C3"/>
    <w:multiLevelType w:val="hybridMultilevel"/>
    <w:tmpl w:val="61927802"/>
    <w:lvl w:ilvl="0" w:tplc="35463DD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4">
    <w:nsid w:val="2E913E27"/>
    <w:multiLevelType w:val="hybridMultilevel"/>
    <w:tmpl w:val="CD84F26A"/>
    <w:lvl w:ilvl="0" w:tplc="74E605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4409FF"/>
    <w:multiLevelType w:val="hybridMultilevel"/>
    <w:tmpl w:val="78E2F3A8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65356BB"/>
    <w:multiLevelType w:val="hybridMultilevel"/>
    <w:tmpl w:val="0ED8E9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225B3"/>
    <w:multiLevelType w:val="hybridMultilevel"/>
    <w:tmpl w:val="E6248B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E6AA1"/>
    <w:multiLevelType w:val="hybridMultilevel"/>
    <w:tmpl w:val="D6ECD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76F9"/>
    <w:multiLevelType w:val="hybridMultilevel"/>
    <w:tmpl w:val="E5DCD8E6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0">
    <w:nsid w:val="4AA6156A"/>
    <w:multiLevelType w:val="hybridMultilevel"/>
    <w:tmpl w:val="91D29A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102457"/>
    <w:multiLevelType w:val="hybridMultilevel"/>
    <w:tmpl w:val="8D8C9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D349A"/>
    <w:multiLevelType w:val="hybridMultilevel"/>
    <w:tmpl w:val="8E7226F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03756"/>
    <w:multiLevelType w:val="multilevel"/>
    <w:tmpl w:val="663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D0325"/>
    <w:multiLevelType w:val="hybridMultilevel"/>
    <w:tmpl w:val="66380E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45328"/>
    <w:multiLevelType w:val="multilevel"/>
    <w:tmpl w:val="44FC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3542FAB"/>
    <w:multiLevelType w:val="hybridMultilevel"/>
    <w:tmpl w:val="54E8D8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90"/>
    <w:rsid w:val="00025FAA"/>
    <w:rsid w:val="00033288"/>
    <w:rsid w:val="00076A3B"/>
    <w:rsid w:val="0009171F"/>
    <w:rsid w:val="000A1602"/>
    <w:rsid w:val="00113190"/>
    <w:rsid w:val="00196F00"/>
    <w:rsid w:val="00225C7A"/>
    <w:rsid w:val="00231BB8"/>
    <w:rsid w:val="00236A16"/>
    <w:rsid w:val="00337AD9"/>
    <w:rsid w:val="003C25E1"/>
    <w:rsid w:val="003E0647"/>
    <w:rsid w:val="006750B3"/>
    <w:rsid w:val="007465CE"/>
    <w:rsid w:val="007A5A12"/>
    <w:rsid w:val="007B19A6"/>
    <w:rsid w:val="0084542F"/>
    <w:rsid w:val="00876961"/>
    <w:rsid w:val="009034CC"/>
    <w:rsid w:val="00B036EF"/>
    <w:rsid w:val="00B258EB"/>
    <w:rsid w:val="00B350E6"/>
    <w:rsid w:val="00B57A39"/>
    <w:rsid w:val="00B60FE8"/>
    <w:rsid w:val="00B745E6"/>
    <w:rsid w:val="00BF7481"/>
    <w:rsid w:val="00C302BE"/>
    <w:rsid w:val="00C735F7"/>
    <w:rsid w:val="00C91A2C"/>
    <w:rsid w:val="00CD5004"/>
    <w:rsid w:val="00D3753C"/>
    <w:rsid w:val="00DE58D9"/>
    <w:rsid w:val="00E07380"/>
    <w:rsid w:val="00E8256D"/>
    <w:rsid w:val="00F14F7B"/>
    <w:rsid w:val="00F2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5E1"/>
    <w:rPr>
      <w:sz w:val="24"/>
      <w:szCs w:val="24"/>
    </w:rPr>
  </w:style>
  <w:style w:type="paragraph" w:styleId="Nadpis1">
    <w:name w:val="heading 1"/>
    <w:basedOn w:val="Normln"/>
    <w:next w:val="Normln"/>
    <w:qFormat/>
    <w:rsid w:val="003C25E1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C25E1"/>
    <w:pPr>
      <w:spacing w:before="120"/>
      <w:ind w:left="360"/>
    </w:pPr>
  </w:style>
  <w:style w:type="character" w:styleId="Hypertextovodkaz">
    <w:name w:val="Hyperlink"/>
    <w:basedOn w:val="Standardnpsmoodstavce"/>
    <w:rsid w:val="003C25E1"/>
    <w:rPr>
      <w:color w:val="1A8B00"/>
      <w:u w:val="single"/>
    </w:rPr>
  </w:style>
  <w:style w:type="character" w:customStyle="1" w:styleId="odst1">
    <w:name w:val="odst1"/>
    <w:basedOn w:val="Standardnpsmoodstavce"/>
    <w:rsid w:val="003C25E1"/>
    <w:rPr>
      <w:b/>
      <w:bCs/>
      <w:color w:val="1060B8"/>
    </w:rPr>
  </w:style>
  <w:style w:type="character" w:styleId="Sledovanodkaz">
    <w:name w:val="FollowedHyperlink"/>
    <w:basedOn w:val="Standardnpsmoodstavce"/>
    <w:rsid w:val="003C25E1"/>
    <w:rPr>
      <w:color w:val="800080"/>
      <w:u w:val="single"/>
    </w:rPr>
  </w:style>
  <w:style w:type="paragraph" w:styleId="Bezmezer">
    <w:name w:val="No Spacing"/>
    <w:uiPriority w:val="1"/>
    <w:qFormat/>
    <w:rsid w:val="00F14F7B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F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F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4F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FA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2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5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Název, sídlo a forma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Název, sídlo a forma</dc:title>
  <dc:creator>Elvíra Rendulová</dc:creator>
  <cp:lastModifiedBy>xx</cp:lastModifiedBy>
  <cp:revision>7</cp:revision>
  <cp:lastPrinted>2017-06-14T12:57:00Z</cp:lastPrinted>
  <dcterms:created xsi:type="dcterms:W3CDTF">2017-05-15T14:15:00Z</dcterms:created>
  <dcterms:modified xsi:type="dcterms:W3CDTF">2017-08-08T08:08:00Z</dcterms:modified>
</cp:coreProperties>
</file>