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0B" w:rsidRDefault="00AB640B" w:rsidP="00044519">
      <w:pPr>
        <w:jc w:val="center"/>
        <w:rPr>
          <w:b/>
          <w:caps/>
          <w:sz w:val="28"/>
          <w:szCs w:val="28"/>
        </w:rPr>
      </w:pPr>
      <w:r>
        <w:rPr>
          <w:noProof/>
          <w:lang w:eastAsia="cs-CZ"/>
        </w:rPr>
        <w:drawing>
          <wp:inline distT="0" distB="0" distL="0" distR="0">
            <wp:extent cx="933450" cy="1066800"/>
            <wp:effectExtent l="19050" t="0" r="0" b="0"/>
            <wp:docPr id="3" name="obrázek 1" descr="C:\Users\levy\Desktop\NOVÝ KRAMOLÍN-znak-barva-jpg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evy\Desktop\NOVÝ KRAMOLÍN-znak-barva-jpg ok.jpg"/>
                    <pic:cNvPicPr>
                      <a:picLocks noChangeAspect="1" noChangeArrowheads="1"/>
                    </pic:cNvPicPr>
                  </pic:nvPicPr>
                  <pic:blipFill>
                    <a:blip r:embed="rId8" cstate="print"/>
                    <a:srcRect/>
                    <a:stretch>
                      <a:fillRect/>
                    </a:stretch>
                  </pic:blipFill>
                  <pic:spPr bwMode="auto">
                    <a:xfrm>
                      <a:off x="0" y="0"/>
                      <a:ext cx="933450" cy="1066800"/>
                    </a:xfrm>
                    <a:prstGeom prst="rect">
                      <a:avLst/>
                    </a:prstGeom>
                    <a:noFill/>
                    <a:ln w="9525">
                      <a:noFill/>
                      <a:miter lim="800000"/>
                      <a:headEnd/>
                      <a:tailEnd/>
                    </a:ln>
                  </pic:spPr>
                </pic:pic>
              </a:graphicData>
            </a:graphic>
          </wp:inline>
        </w:drawing>
      </w:r>
    </w:p>
    <w:p w:rsidR="00AB640B" w:rsidRDefault="00AB640B" w:rsidP="00044519">
      <w:pPr>
        <w:jc w:val="center"/>
        <w:rPr>
          <w:b/>
          <w:caps/>
          <w:sz w:val="28"/>
          <w:szCs w:val="28"/>
        </w:rPr>
      </w:pPr>
    </w:p>
    <w:p w:rsidR="004E2086" w:rsidRPr="00044519" w:rsidRDefault="00C46CAB" w:rsidP="00044519">
      <w:pPr>
        <w:jc w:val="center"/>
        <w:rPr>
          <w:b/>
          <w:caps/>
          <w:sz w:val="28"/>
          <w:szCs w:val="28"/>
        </w:rPr>
      </w:pPr>
      <w:r>
        <w:rPr>
          <w:b/>
          <w:caps/>
          <w:sz w:val="28"/>
          <w:szCs w:val="28"/>
        </w:rPr>
        <w:t>vNITŘNÍ</w:t>
      </w:r>
      <w:r w:rsidR="003C1BD6">
        <w:rPr>
          <w:b/>
          <w:caps/>
          <w:sz w:val="28"/>
          <w:szCs w:val="28"/>
        </w:rPr>
        <w:t xml:space="preserve"> směrnice č.</w:t>
      </w:r>
      <w:r w:rsidR="00AB640B" w:rsidRPr="00AB640B">
        <w:rPr>
          <w:noProof/>
          <w:lang w:eastAsia="cs-CZ"/>
        </w:rPr>
        <w:t xml:space="preserve"> </w:t>
      </w:r>
      <w:r w:rsidR="003C1BD6">
        <w:rPr>
          <w:b/>
          <w:caps/>
          <w:sz w:val="28"/>
          <w:szCs w:val="28"/>
        </w:rPr>
        <w:t>1</w:t>
      </w:r>
      <w:r w:rsidR="00044519" w:rsidRPr="00044519">
        <w:rPr>
          <w:b/>
          <w:caps/>
          <w:sz w:val="28"/>
          <w:szCs w:val="28"/>
        </w:rPr>
        <w:t>/201</w:t>
      </w:r>
      <w:r w:rsidR="003C1BD6">
        <w:rPr>
          <w:b/>
          <w:caps/>
          <w:sz w:val="28"/>
          <w:szCs w:val="28"/>
        </w:rPr>
        <w:t>7</w:t>
      </w:r>
      <w:r w:rsidR="00044519" w:rsidRPr="00044519">
        <w:rPr>
          <w:b/>
          <w:caps/>
          <w:sz w:val="28"/>
          <w:szCs w:val="28"/>
        </w:rPr>
        <w:t xml:space="preserve"> Obce </w:t>
      </w:r>
      <w:r w:rsidR="003C1BD6">
        <w:rPr>
          <w:b/>
          <w:caps/>
          <w:sz w:val="28"/>
          <w:szCs w:val="28"/>
        </w:rPr>
        <w:t>Nový kramolín</w:t>
      </w:r>
    </w:p>
    <w:p w:rsidR="00044519" w:rsidRDefault="00044519" w:rsidP="00044519">
      <w:pPr>
        <w:jc w:val="center"/>
        <w:rPr>
          <w:b/>
          <w:caps/>
          <w:sz w:val="28"/>
          <w:szCs w:val="28"/>
        </w:rPr>
      </w:pPr>
      <w:r w:rsidRPr="00044519">
        <w:rPr>
          <w:b/>
          <w:caps/>
          <w:sz w:val="28"/>
          <w:szCs w:val="28"/>
        </w:rPr>
        <w:t>pro časové rozlišení nákladů a výnosů</w:t>
      </w:r>
    </w:p>
    <w:p w:rsidR="00044519" w:rsidRDefault="00AA031E" w:rsidP="00AA031E">
      <w:pPr>
        <w:rPr>
          <w:caps/>
          <w:sz w:val="24"/>
          <w:szCs w:val="24"/>
        </w:rPr>
      </w:pPr>
      <w:r>
        <w:rPr>
          <w:caps/>
          <w:sz w:val="24"/>
          <w:szCs w:val="24"/>
        </w:rPr>
        <w:t>Obsah:</w:t>
      </w:r>
    </w:p>
    <w:p w:rsidR="00AA031E" w:rsidRPr="00AA031E" w:rsidRDefault="00AA031E" w:rsidP="00AA031E">
      <w:pPr>
        <w:pStyle w:val="Bezmezer"/>
        <w:rPr>
          <w:sz w:val="24"/>
          <w:szCs w:val="24"/>
        </w:rPr>
      </w:pPr>
      <w:proofErr w:type="spellStart"/>
      <w:proofErr w:type="gramStart"/>
      <w:r w:rsidRPr="00AA031E">
        <w:rPr>
          <w:sz w:val="24"/>
          <w:szCs w:val="24"/>
        </w:rPr>
        <w:t>I</w:t>
      </w:r>
      <w:proofErr w:type="spellEnd"/>
      <w:r w:rsidRPr="00AA031E">
        <w:rPr>
          <w:sz w:val="24"/>
          <w:szCs w:val="24"/>
        </w:rPr>
        <w:t>.Legislativní</w:t>
      </w:r>
      <w:proofErr w:type="gramEnd"/>
      <w:r w:rsidRPr="00AA031E">
        <w:rPr>
          <w:sz w:val="24"/>
          <w:szCs w:val="24"/>
        </w:rPr>
        <w:t xml:space="preserve"> rámec</w:t>
      </w:r>
    </w:p>
    <w:p w:rsidR="00AA031E" w:rsidRPr="00AA031E" w:rsidRDefault="00AA031E" w:rsidP="00AA031E">
      <w:pPr>
        <w:pStyle w:val="Bezmezer"/>
        <w:rPr>
          <w:sz w:val="24"/>
          <w:szCs w:val="24"/>
        </w:rPr>
      </w:pPr>
      <w:proofErr w:type="spellStart"/>
      <w:proofErr w:type="gramStart"/>
      <w:r w:rsidRPr="00AA031E">
        <w:rPr>
          <w:sz w:val="24"/>
          <w:szCs w:val="24"/>
        </w:rPr>
        <w:t>II.Předmět</w:t>
      </w:r>
      <w:proofErr w:type="spellEnd"/>
      <w:proofErr w:type="gramEnd"/>
      <w:r w:rsidRPr="00AA031E">
        <w:rPr>
          <w:sz w:val="24"/>
          <w:szCs w:val="24"/>
        </w:rPr>
        <w:t xml:space="preserve"> směrnice</w:t>
      </w:r>
    </w:p>
    <w:p w:rsidR="00AA031E" w:rsidRPr="00AA031E" w:rsidRDefault="00AA031E" w:rsidP="00AA031E">
      <w:pPr>
        <w:pStyle w:val="Bezmezer"/>
        <w:rPr>
          <w:sz w:val="24"/>
          <w:szCs w:val="24"/>
        </w:rPr>
      </w:pPr>
      <w:proofErr w:type="spellStart"/>
      <w:proofErr w:type="gramStart"/>
      <w:r w:rsidRPr="00AA031E">
        <w:rPr>
          <w:sz w:val="24"/>
          <w:szCs w:val="24"/>
        </w:rPr>
        <w:t>III.Časové</w:t>
      </w:r>
      <w:proofErr w:type="spellEnd"/>
      <w:proofErr w:type="gramEnd"/>
      <w:r w:rsidRPr="00AA031E">
        <w:rPr>
          <w:sz w:val="24"/>
          <w:szCs w:val="24"/>
        </w:rPr>
        <w:t xml:space="preserve"> rozlišení nákladů a výnosů</w:t>
      </w:r>
    </w:p>
    <w:p w:rsidR="00AA031E" w:rsidRPr="00AA031E" w:rsidRDefault="00AA031E" w:rsidP="00AA031E">
      <w:pPr>
        <w:pStyle w:val="Bezmezer"/>
        <w:rPr>
          <w:sz w:val="24"/>
          <w:szCs w:val="24"/>
        </w:rPr>
      </w:pPr>
      <w:proofErr w:type="spellStart"/>
      <w:proofErr w:type="gramStart"/>
      <w:r w:rsidRPr="00AA031E">
        <w:rPr>
          <w:sz w:val="24"/>
          <w:szCs w:val="24"/>
        </w:rPr>
        <w:t>IV.Závěrečná</w:t>
      </w:r>
      <w:proofErr w:type="spellEnd"/>
      <w:proofErr w:type="gramEnd"/>
      <w:r w:rsidRPr="00AA031E">
        <w:rPr>
          <w:sz w:val="24"/>
          <w:szCs w:val="24"/>
        </w:rPr>
        <w:t xml:space="preserve"> ustanovení</w:t>
      </w:r>
    </w:p>
    <w:p w:rsidR="00044519" w:rsidRDefault="00044519" w:rsidP="00044519">
      <w:pPr>
        <w:pStyle w:val="Odstavecseseznamem"/>
        <w:ind w:left="1080"/>
        <w:rPr>
          <w:b/>
          <w:sz w:val="28"/>
          <w:szCs w:val="28"/>
        </w:rPr>
      </w:pPr>
    </w:p>
    <w:p w:rsidR="00044519" w:rsidRDefault="00044519" w:rsidP="00044519">
      <w:pPr>
        <w:pStyle w:val="Odstavecseseznamem"/>
      </w:pPr>
    </w:p>
    <w:p w:rsidR="00044519" w:rsidRDefault="00AA031E" w:rsidP="00AA031E">
      <w:pPr>
        <w:pStyle w:val="Odstavecseseznamem"/>
        <w:jc w:val="center"/>
        <w:rPr>
          <w:b/>
          <w:sz w:val="24"/>
          <w:szCs w:val="24"/>
        </w:rPr>
      </w:pPr>
      <w:proofErr w:type="spellStart"/>
      <w:proofErr w:type="gramStart"/>
      <w:r w:rsidRPr="00AA031E">
        <w:rPr>
          <w:b/>
          <w:sz w:val="24"/>
          <w:szCs w:val="24"/>
        </w:rPr>
        <w:t>I</w:t>
      </w:r>
      <w:proofErr w:type="spellEnd"/>
      <w:r w:rsidRPr="00AA031E">
        <w:rPr>
          <w:b/>
          <w:sz w:val="24"/>
          <w:szCs w:val="24"/>
        </w:rPr>
        <w:t>.</w:t>
      </w:r>
      <w:r w:rsidR="00044519" w:rsidRPr="00AA031E">
        <w:rPr>
          <w:b/>
          <w:sz w:val="24"/>
          <w:szCs w:val="24"/>
        </w:rPr>
        <w:t>Legislativní</w:t>
      </w:r>
      <w:proofErr w:type="gramEnd"/>
      <w:r w:rsidR="00044519" w:rsidRPr="00AA031E">
        <w:rPr>
          <w:b/>
          <w:sz w:val="24"/>
          <w:szCs w:val="24"/>
        </w:rPr>
        <w:t xml:space="preserve"> rámec</w:t>
      </w:r>
    </w:p>
    <w:p w:rsidR="00AA031E" w:rsidRPr="00AA031E" w:rsidRDefault="00AA031E" w:rsidP="00AA031E">
      <w:pPr>
        <w:pStyle w:val="Odstavecseseznamem"/>
        <w:jc w:val="center"/>
        <w:rPr>
          <w:b/>
          <w:sz w:val="24"/>
          <w:szCs w:val="24"/>
        </w:rPr>
      </w:pPr>
    </w:p>
    <w:p w:rsidR="00044519" w:rsidRDefault="00044519" w:rsidP="00AA031E">
      <w:pPr>
        <w:pStyle w:val="Odstavecseseznamem"/>
        <w:numPr>
          <w:ilvl w:val="2"/>
          <w:numId w:val="26"/>
        </w:numPr>
        <w:ind w:left="709"/>
      </w:pPr>
      <w:r>
        <w:t>§ 69 vyhlášky č. 410/2009 Sb., ve znění pozdějších předpisů, kterou se provádí některá ustanovení zákona č. 563/1991 Sb., o účetnictví, ve znění pozdějších předpisů, pro některé vybrané účetní jednotky</w:t>
      </w:r>
    </w:p>
    <w:p w:rsidR="00044519" w:rsidRDefault="00044519" w:rsidP="00AA031E">
      <w:pPr>
        <w:pStyle w:val="Odstavecseseznamem"/>
        <w:numPr>
          <w:ilvl w:val="0"/>
          <w:numId w:val="25"/>
        </w:numPr>
      </w:pPr>
      <w:r>
        <w:t>Zákon č. 563/1991 Sb., o účetnictví, ve znění pozdějších předpisů, pro některé vybrané účetní jednotky</w:t>
      </w:r>
    </w:p>
    <w:p w:rsidR="00044519" w:rsidRDefault="00044519" w:rsidP="00AA031E">
      <w:pPr>
        <w:pStyle w:val="Odstavecseseznamem"/>
        <w:numPr>
          <w:ilvl w:val="0"/>
          <w:numId w:val="25"/>
        </w:numPr>
      </w:pPr>
      <w:r>
        <w:t>Zákon č. 586/1992 Sb., o dani z příjmů, ve znění pozdějších předpisů</w:t>
      </w:r>
    </w:p>
    <w:p w:rsidR="009B25AA" w:rsidRDefault="009B25AA" w:rsidP="00D2556C">
      <w:pPr>
        <w:pStyle w:val="Odstavecseseznamem"/>
      </w:pPr>
    </w:p>
    <w:p w:rsidR="00AA031E" w:rsidRDefault="00AA031E" w:rsidP="00AA031E">
      <w:pPr>
        <w:pStyle w:val="Odstavecseseznamem"/>
        <w:jc w:val="center"/>
        <w:rPr>
          <w:b/>
          <w:sz w:val="24"/>
          <w:szCs w:val="24"/>
        </w:rPr>
      </w:pPr>
      <w:proofErr w:type="spellStart"/>
      <w:proofErr w:type="gramStart"/>
      <w:r w:rsidRPr="00AA031E">
        <w:rPr>
          <w:b/>
          <w:sz w:val="24"/>
          <w:szCs w:val="24"/>
        </w:rPr>
        <w:t>II.Předmět</w:t>
      </w:r>
      <w:proofErr w:type="spellEnd"/>
      <w:proofErr w:type="gramEnd"/>
      <w:r w:rsidRPr="00AA031E">
        <w:rPr>
          <w:b/>
          <w:sz w:val="24"/>
          <w:szCs w:val="24"/>
        </w:rPr>
        <w:t xml:space="preserve"> směrnice</w:t>
      </w:r>
    </w:p>
    <w:p w:rsidR="00AA031E" w:rsidRPr="00AA031E" w:rsidRDefault="00AA031E" w:rsidP="00AA031E">
      <w:pPr>
        <w:pStyle w:val="Odstavecseseznamem"/>
        <w:jc w:val="center"/>
        <w:rPr>
          <w:b/>
          <w:sz w:val="24"/>
          <w:szCs w:val="24"/>
        </w:rPr>
      </w:pPr>
    </w:p>
    <w:p w:rsidR="00AA031E" w:rsidRDefault="00AA031E" w:rsidP="00AA031E">
      <w:pPr>
        <w:pStyle w:val="Odstavecseseznamem"/>
      </w:pPr>
      <w:r w:rsidRPr="00AA031E">
        <w:rPr>
          <w:sz w:val="24"/>
          <w:szCs w:val="24"/>
        </w:rPr>
        <w:t>Předmětem této směrnice je stanovit takové zásady účtování,</w:t>
      </w:r>
      <w:r>
        <w:t xml:space="preserve"> které povedou ke správnému a věrnému vyčíslení výsledku hospodaření.  Proto je třeba náklady a výnosy zahrnout do období, se kterým časově a věcně souvisejí.</w:t>
      </w:r>
    </w:p>
    <w:p w:rsidR="00D2556C" w:rsidRDefault="00D2556C" w:rsidP="00D2556C">
      <w:pPr>
        <w:pStyle w:val="Odstavecseseznamem"/>
      </w:pPr>
    </w:p>
    <w:p w:rsidR="00D2556C" w:rsidRPr="00AA031E" w:rsidRDefault="00AA031E" w:rsidP="00AA031E">
      <w:pPr>
        <w:pStyle w:val="Odstavecseseznamem"/>
        <w:ind w:left="1080"/>
        <w:jc w:val="center"/>
        <w:rPr>
          <w:b/>
          <w:sz w:val="24"/>
          <w:szCs w:val="24"/>
        </w:rPr>
      </w:pPr>
      <w:proofErr w:type="spellStart"/>
      <w:proofErr w:type="gramStart"/>
      <w:r w:rsidRPr="00AA031E">
        <w:rPr>
          <w:b/>
          <w:sz w:val="24"/>
          <w:szCs w:val="24"/>
        </w:rPr>
        <w:t>III.</w:t>
      </w:r>
      <w:r w:rsidR="00D2556C" w:rsidRPr="00AA031E">
        <w:rPr>
          <w:b/>
          <w:sz w:val="24"/>
          <w:szCs w:val="24"/>
        </w:rPr>
        <w:t>Časové</w:t>
      </w:r>
      <w:proofErr w:type="spellEnd"/>
      <w:proofErr w:type="gramEnd"/>
      <w:r w:rsidR="00D2556C" w:rsidRPr="00AA031E">
        <w:rPr>
          <w:b/>
          <w:sz w:val="24"/>
          <w:szCs w:val="24"/>
        </w:rPr>
        <w:t xml:space="preserve"> rozlišení nákladů a výnosů</w:t>
      </w:r>
    </w:p>
    <w:p w:rsidR="00091FAF" w:rsidRDefault="00091FAF" w:rsidP="00091FAF">
      <w:pPr>
        <w:pStyle w:val="Odstavecseseznamem"/>
        <w:ind w:left="1080"/>
        <w:rPr>
          <w:b/>
          <w:sz w:val="28"/>
          <w:szCs w:val="28"/>
        </w:rPr>
      </w:pPr>
    </w:p>
    <w:p w:rsidR="009B25AA" w:rsidRDefault="009B25AA" w:rsidP="00AB640B">
      <w:pPr>
        <w:pStyle w:val="Bezmezer"/>
        <w:numPr>
          <w:ilvl w:val="0"/>
          <w:numId w:val="6"/>
        </w:numPr>
      </w:pPr>
      <w:r>
        <w:t>Povinnost časového rozlišení</w:t>
      </w:r>
    </w:p>
    <w:p w:rsidR="00091FAF" w:rsidRDefault="00091FAF" w:rsidP="00AB640B">
      <w:pPr>
        <w:pStyle w:val="Bezmezer"/>
        <w:ind w:left="708"/>
      </w:pPr>
      <w:r>
        <w:t>V průběhu účetního období dochází často k časovému nesouladu mezi vznikem výdajů a nákladů i příjmů a výnosů. Aby účetní jednotka zjistila správný výsledek hospodaření za příslušné účetní období, musí se do něho zaúčtovat všechny náklady a výnosy, které s tím časově i věcně souvisejí. Povinnost časového rozlišení vzniká, pokud se účetní případ týká více než jednoho účetního období</w:t>
      </w:r>
      <w:r w:rsidR="00833B2D">
        <w:t>, tj</w:t>
      </w:r>
      <w:r w:rsidR="00833B2D" w:rsidRPr="003719CF">
        <w:t>. kalendářního roku</w:t>
      </w:r>
      <w:r w:rsidRPr="003719CF">
        <w:t>.</w:t>
      </w:r>
      <w:r w:rsidR="00FD02F7">
        <w:t xml:space="preserve"> </w:t>
      </w:r>
    </w:p>
    <w:p w:rsidR="00345458" w:rsidRPr="00091FAF" w:rsidRDefault="00345458" w:rsidP="00AB640B">
      <w:pPr>
        <w:pStyle w:val="Bezmezer"/>
        <w:ind w:left="708"/>
      </w:pPr>
    </w:p>
    <w:p w:rsidR="009B25AA" w:rsidRDefault="009B25AA" w:rsidP="00AB640B">
      <w:pPr>
        <w:pStyle w:val="Bezmezer"/>
        <w:numPr>
          <w:ilvl w:val="0"/>
          <w:numId w:val="6"/>
        </w:numPr>
      </w:pPr>
      <w:r>
        <w:t>Akruální princip</w:t>
      </w:r>
    </w:p>
    <w:p w:rsidR="00091FAF" w:rsidRDefault="00833B2D" w:rsidP="00AB640B">
      <w:pPr>
        <w:pStyle w:val="Bezmezer"/>
        <w:ind w:left="708"/>
      </w:pPr>
      <w:r>
        <w:t xml:space="preserve">Každý účetní doklad musí být posouzen kromě hledisek, které jsou řešeny jinými vnitřními normami, též z hlediska věcné a časové příslušnosti. Pokud se účetní doklad </w:t>
      </w:r>
      <w:proofErr w:type="gramStart"/>
      <w:r>
        <w:t>týká</w:t>
      </w:r>
      <w:proofErr w:type="gramEnd"/>
      <w:r>
        <w:t xml:space="preserve"> jiného </w:t>
      </w:r>
      <w:r>
        <w:lastRenderedPageBreak/>
        <w:t xml:space="preserve">účetního období </w:t>
      </w:r>
      <w:proofErr w:type="gramStart"/>
      <w:r>
        <w:t>je</w:t>
      </w:r>
      <w:proofErr w:type="gramEnd"/>
      <w:r>
        <w:t xml:space="preserve"> nutné jej zaúčtovat do správného účetního období pomocí techniky časového rozlišení, popř. jiného vhodného způsobu. </w:t>
      </w:r>
    </w:p>
    <w:p w:rsidR="00833B2D" w:rsidRDefault="00833B2D" w:rsidP="00AB640B">
      <w:pPr>
        <w:pStyle w:val="Bezmezer"/>
        <w:ind w:left="708"/>
      </w:pPr>
    </w:p>
    <w:p w:rsidR="009B25AA" w:rsidRDefault="009B25AA" w:rsidP="00AB640B">
      <w:pPr>
        <w:pStyle w:val="Bezmezer"/>
        <w:numPr>
          <w:ilvl w:val="0"/>
          <w:numId w:val="6"/>
        </w:numPr>
      </w:pPr>
      <w:r>
        <w:t>Inventarizace účtů časového r</w:t>
      </w:r>
      <w:r w:rsidR="00091FAF">
        <w:t>ozlišení</w:t>
      </w:r>
    </w:p>
    <w:p w:rsidR="00833B2D" w:rsidRDefault="00833B2D" w:rsidP="00AB640B">
      <w:pPr>
        <w:pStyle w:val="Bezmezer"/>
        <w:ind w:left="708"/>
      </w:pPr>
      <w:r w:rsidRPr="00833B2D">
        <w:t xml:space="preserve">Položky časového rozlišení </w:t>
      </w:r>
      <w:proofErr w:type="gramStart"/>
      <w:r w:rsidRPr="00833B2D">
        <w:t>podléhají</w:t>
      </w:r>
      <w:r w:rsidR="00FD02F7">
        <w:t xml:space="preserve">  </w:t>
      </w:r>
      <w:r w:rsidR="00FD02F7" w:rsidRPr="003719CF">
        <w:t>dokladové</w:t>
      </w:r>
      <w:proofErr w:type="gramEnd"/>
      <w:r w:rsidRPr="00833B2D">
        <w:t xml:space="preserve"> inventarizaci a při ní se posuzuje jejich výše a odůvodněnost.</w:t>
      </w:r>
    </w:p>
    <w:p w:rsidR="00833B2D" w:rsidRPr="00833B2D" w:rsidRDefault="00833B2D" w:rsidP="00AB640B">
      <w:pPr>
        <w:pStyle w:val="Bezmezer"/>
        <w:ind w:left="708"/>
      </w:pPr>
    </w:p>
    <w:p w:rsidR="00091FAF" w:rsidRDefault="00091FAF" w:rsidP="00AB640B">
      <w:pPr>
        <w:pStyle w:val="Bezmezer"/>
        <w:ind w:left="708"/>
      </w:pPr>
      <w:r>
        <w:t>Zásady časového rozlišení</w:t>
      </w:r>
    </w:p>
    <w:p w:rsidR="00833B2D" w:rsidRPr="00AB640B" w:rsidRDefault="00AB640B" w:rsidP="00AB640B">
      <w:pPr>
        <w:pStyle w:val="Bezmezer"/>
        <w:rPr>
          <w:u w:val="single"/>
        </w:rPr>
      </w:pPr>
      <w:r w:rsidRPr="00AB640B">
        <w:t xml:space="preserve">  </w:t>
      </w:r>
      <w:r w:rsidR="00293B1E" w:rsidRPr="00AB640B">
        <w:t xml:space="preserve">             </w:t>
      </w:r>
      <w:r>
        <w:t xml:space="preserve">     </w:t>
      </w:r>
      <w:r w:rsidR="00833B2D" w:rsidRPr="00AB640B">
        <w:rPr>
          <w:u w:val="single"/>
        </w:rPr>
        <w:t>Hlavní zásady</w:t>
      </w:r>
    </w:p>
    <w:p w:rsidR="00833B2D" w:rsidRPr="00AB640B" w:rsidRDefault="00293B1E" w:rsidP="00AB640B">
      <w:pPr>
        <w:pStyle w:val="Bezmezer"/>
      </w:pPr>
      <w:r w:rsidRPr="00AB640B">
        <w:t xml:space="preserve">  </w:t>
      </w:r>
      <w:r w:rsidR="00AB640B">
        <w:t xml:space="preserve"> </w:t>
      </w:r>
      <w:r w:rsidRPr="00AB640B">
        <w:t xml:space="preserve">           </w:t>
      </w:r>
      <w:r w:rsidR="00833B2D" w:rsidRPr="00AB640B">
        <w:t>Účetní jednotky náklady (výdaje) a výnosy (příjmy) zachycují dle těchto zásad:</w:t>
      </w:r>
    </w:p>
    <w:p w:rsidR="00833B2D" w:rsidRDefault="00AB640B" w:rsidP="00AB640B">
      <w:pPr>
        <w:pStyle w:val="Bezmezer"/>
      </w:pPr>
      <w:r>
        <w:t xml:space="preserve">              N</w:t>
      </w:r>
      <w:r w:rsidR="00833B2D">
        <w:t>áklady a výnosy se zachycují zásadně do období, s nímž časově a věcně souvisí</w:t>
      </w:r>
    </w:p>
    <w:p w:rsidR="00833B2D" w:rsidRPr="00B84A0F" w:rsidRDefault="00833B2D" w:rsidP="00AB640B">
      <w:pPr>
        <w:pStyle w:val="Odstavecseseznamem"/>
        <w:numPr>
          <w:ilvl w:val="0"/>
          <w:numId w:val="14"/>
        </w:numPr>
      </w:pPr>
      <w:r>
        <w:t xml:space="preserve">Opravy nákladů nebo výnosů </w:t>
      </w:r>
      <w:r w:rsidR="00573DA5">
        <w:t>minulých účetních období se zachycují na položkách nákladů a výnosů, kterých se týkají</w:t>
      </w:r>
      <w:r w:rsidR="00FD02F7">
        <w:t xml:space="preserve">, a to pouze v nevýznamných částkách do </w:t>
      </w:r>
      <w:r w:rsidR="003C1BD6">
        <w:t>15</w:t>
      </w:r>
      <w:r w:rsidR="00E05826">
        <w:t xml:space="preserve"> tis Kč</w:t>
      </w:r>
      <w:r w:rsidR="00FD02F7">
        <w:t xml:space="preserve">. </w:t>
      </w:r>
      <w:r w:rsidR="00FD02F7" w:rsidRPr="00B84A0F">
        <w:t>Opravy významných částek je třeba účtovat v </w:t>
      </w:r>
      <w:proofErr w:type="gramStart"/>
      <w:r w:rsidR="00FD02F7" w:rsidRPr="00B84A0F">
        <w:t>souladu  s</w:t>
      </w:r>
      <w:r w:rsidR="00B84A0F" w:rsidRPr="00B84A0F">
        <w:t> </w:t>
      </w:r>
      <w:r w:rsidR="00FD02F7" w:rsidRPr="00B84A0F">
        <w:t>vyhl</w:t>
      </w:r>
      <w:r w:rsidR="00B84A0F" w:rsidRPr="00B84A0F">
        <w:t>áškou</w:t>
      </w:r>
      <w:proofErr w:type="gramEnd"/>
      <w:r w:rsidR="00B84A0F" w:rsidRPr="00B84A0F">
        <w:t xml:space="preserve"> č. 410/2009 Sb., </w:t>
      </w:r>
      <w:r w:rsidR="00FD02F7" w:rsidRPr="00B84A0F">
        <w:t xml:space="preserve"> rozvahově</w:t>
      </w:r>
    </w:p>
    <w:p w:rsidR="00573DA5" w:rsidRDefault="00573DA5" w:rsidP="00293B1E">
      <w:pPr>
        <w:pStyle w:val="Odstavecseseznamem"/>
        <w:numPr>
          <w:ilvl w:val="0"/>
          <w:numId w:val="14"/>
        </w:numPr>
      </w:pPr>
      <w:r>
        <w:t>Náhrady vynaložených nákladů minulých účetních období se zachycují do výnosů běžného účetního období</w:t>
      </w:r>
    </w:p>
    <w:p w:rsidR="00573DA5" w:rsidRDefault="00573DA5" w:rsidP="00293B1E">
      <w:pPr>
        <w:pStyle w:val="Odstavecseseznamem"/>
        <w:numPr>
          <w:ilvl w:val="0"/>
          <w:numId w:val="14"/>
        </w:numPr>
      </w:pPr>
      <w:r>
        <w:t>Náklady a výdaje, které se týkají budoucích období, je nutno časově rozlišit ve formě nákladů příštích období a výdajů příštích období</w:t>
      </w:r>
    </w:p>
    <w:p w:rsidR="00345458" w:rsidRDefault="00345458" w:rsidP="00293B1E">
      <w:pPr>
        <w:pStyle w:val="Odstavecseseznamem"/>
        <w:numPr>
          <w:ilvl w:val="0"/>
          <w:numId w:val="14"/>
        </w:numPr>
      </w:pPr>
      <w:r>
        <w:t>Výnosy a příjmy, které se týkají budoucích období, je nutno časově rozlišit ve formě výnosů příštích období a příjmů příštích období</w:t>
      </w:r>
    </w:p>
    <w:p w:rsidR="00833B2D" w:rsidRDefault="00AB640B" w:rsidP="00293B1E">
      <w:r>
        <w:t xml:space="preserve">        </w:t>
      </w:r>
      <w:r w:rsidR="00345458">
        <w:t>U účetních případů, které se časově rozlišují, musí být známy tyto skutečnosti:</w:t>
      </w:r>
    </w:p>
    <w:p w:rsidR="00345458" w:rsidRDefault="00345458" w:rsidP="00293B1E">
      <w:pPr>
        <w:pStyle w:val="Odstavecseseznamem"/>
        <w:numPr>
          <w:ilvl w:val="0"/>
          <w:numId w:val="17"/>
        </w:numPr>
      </w:pPr>
      <w:r>
        <w:t xml:space="preserve">Věcné vymezení – účel </w:t>
      </w:r>
    </w:p>
    <w:p w:rsidR="00345458" w:rsidRDefault="00345458" w:rsidP="00293B1E">
      <w:pPr>
        <w:pStyle w:val="Odstavecseseznamem"/>
        <w:numPr>
          <w:ilvl w:val="0"/>
          <w:numId w:val="17"/>
        </w:numPr>
      </w:pPr>
      <w:r>
        <w:t>Přesná částka</w:t>
      </w:r>
    </w:p>
    <w:p w:rsidR="00293B1E" w:rsidRDefault="00345458" w:rsidP="00345458">
      <w:pPr>
        <w:pStyle w:val="Odstavecseseznamem"/>
        <w:numPr>
          <w:ilvl w:val="0"/>
          <w:numId w:val="17"/>
        </w:numPr>
      </w:pPr>
      <w:r>
        <w:t xml:space="preserve">Období, k němuž </w:t>
      </w:r>
      <w:proofErr w:type="gramStart"/>
      <w:r>
        <w:t>se částka</w:t>
      </w:r>
      <w:proofErr w:type="gramEnd"/>
      <w:r>
        <w:t xml:space="preserve"> vztah</w:t>
      </w:r>
    </w:p>
    <w:p w:rsidR="00293B1E" w:rsidRDefault="00345458" w:rsidP="00293B1E">
      <w:pPr>
        <w:ind w:left="360"/>
      </w:pPr>
      <w:r>
        <w:t xml:space="preserve">       Uvedené tři podm</w:t>
      </w:r>
      <w:r w:rsidR="00293B1E">
        <w:t>ínky musí být splněny současně.</w:t>
      </w:r>
    </w:p>
    <w:p w:rsidR="00345458" w:rsidRDefault="00345458" w:rsidP="00293B1E">
      <w:pPr>
        <w:ind w:left="360"/>
      </w:pPr>
      <w:r>
        <w:t xml:space="preserve">Metodu časového rozlišení nepoužije účetní jednotka v případě, pokud náklady na získání informace převýší </w:t>
      </w:r>
      <w:r w:rsidR="00536FEA">
        <w:t>přínosy plynoucí</w:t>
      </w:r>
      <w:r>
        <w:t xml:space="preserve"> z této informace a tato informace se nepovažuje za významnou. </w:t>
      </w:r>
    </w:p>
    <w:p w:rsidR="00345458" w:rsidRPr="00293B1E" w:rsidRDefault="00345458" w:rsidP="00293B1E">
      <w:pPr>
        <w:ind w:left="1080"/>
        <w:jc w:val="both"/>
        <w:rPr>
          <w:u w:val="single"/>
        </w:rPr>
      </w:pPr>
      <w:r w:rsidRPr="00293B1E">
        <w:rPr>
          <w:u w:val="single"/>
        </w:rPr>
        <w:t>Další zásady</w:t>
      </w:r>
    </w:p>
    <w:p w:rsidR="00345458" w:rsidRDefault="00345458" w:rsidP="00293B1E">
      <w:pPr>
        <w:pStyle w:val="Odstavecseseznamem"/>
        <w:numPr>
          <w:ilvl w:val="0"/>
          <w:numId w:val="16"/>
        </w:numPr>
      </w:pPr>
      <w:r>
        <w:t>Účetní jednotka rozlišuje v závislosti na počtu měsíců v běžném období.</w:t>
      </w:r>
    </w:p>
    <w:p w:rsidR="00345458" w:rsidRPr="003719CF" w:rsidRDefault="00345458" w:rsidP="00293B1E">
      <w:pPr>
        <w:pStyle w:val="Odstavecseseznamem"/>
        <w:numPr>
          <w:ilvl w:val="0"/>
          <w:numId w:val="16"/>
        </w:numPr>
        <w:jc w:val="both"/>
      </w:pPr>
      <w:r>
        <w:t xml:space="preserve">Všechny uvedené </w:t>
      </w:r>
      <w:r w:rsidR="00536FEA">
        <w:t>případy budou</w:t>
      </w:r>
      <w:r>
        <w:t xml:space="preserve"> rozlišovány pouze koncem účetního období</w:t>
      </w:r>
      <w:r w:rsidR="00FD02F7">
        <w:t xml:space="preserve"> </w:t>
      </w:r>
      <w:r w:rsidR="00FD02F7" w:rsidRPr="003719CF">
        <w:t>v rámci řádné roční účetní závěrky</w:t>
      </w:r>
      <w:r w:rsidRPr="003719CF">
        <w:t>.</w:t>
      </w:r>
    </w:p>
    <w:p w:rsidR="00345458" w:rsidRPr="00293B1E" w:rsidRDefault="00293B1E" w:rsidP="00293B1E">
      <w:pPr>
        <w:jc w:val="both"/>
        <w:rPr>
          <w:u w:val="single"/>
        </w:rPr>
      </w:pPr>
      <w:r w:rsidRPr="00293B1E">
        <w:t xml:space="preserve">                   </w:t>
      </w:r>
      <w:r>
        <w:rPr>
          <w:u w:val="single"/>
        </w:rPr>
        <w:t xml:space="preserve"> </w:t>
      </w:r>
      <w:r w:rsidR="00345458" w:rsidRPr="00293B1E">
        <w:rPr>
          <w:u w:val="single"/>
        </w:rPr>
        <w:t>Ze zásad časového rozlišení se stanovují tyto výjimky</w:t>
      </w:r>
      <w:r w:rsidR="00FD02F7" w:rsidRPr="00293B1E">
        <w:rPr>
          <w:u w:val="single"/>
        </w:rPr>
        <w:t xml:space="preserve"> a časovému  rozlišení </w:t>
      </w:r>
      <w:proofErr w:type="gramStart"/>
      <w:r w:rsidR="00FD02F7" w:rsidRPr="00293B1E">
        <w:rPr>
          <w:u w:val="single"/>
        </w:rPr>
        <w:t xml:space="preserve">nepodléhají  </w:t>
      </w:r>
      <w:r w:rsidR="00345458" w:rsidRPr="00293B1E">
        <w:rPr>
          <w:u w:val="single"/>
        </w:rPr>
        <w:t>:</w:t>
      </w:r>
      <w:proofErr w:type="gramEnd"/>
    </w:p>
    <w:p w:rsidR="00345458" w:rsidRDefault="00B85FCE" w:rsidP="00D57AD3">
      <w:pPr>
        <w:pStyle w:val="Bezmezer"/>
        <w:numPr>
          <w:ilvl w:val="0"/>
          <w:numId w:val="20"/>
        </w:numPr>
      </w:pPr>
      <w:r>
        <w:t xml:space="preserve">Nevýznamné částky nepřesahující 500.000,- Kč- </w:t>
      </w:r>
      <w:r w:rsidRPr="00293B1E">
        <w:rPr>
          <w:u w:val="single"/>
        </w:rPr>
        <w:t xml:space="preserve">týkající se </w:t>
      </w:r>
      <w:proofErr w:type="gramStart"/>
      <w:r w:rsidRPr="00293B1E">
        <w:rPr>
          <w:u w:val="single"/>
        </w:rPr>
        <w:t xml:space="preserve">nákladů  </w:t>
      </w:r>
      <w:r>
        <w:t xml:space="preserve">                                                                            a) předplatné</w:t>
      </w:r>
      <w:proofErr w:type="gramEnd"/>
      <w:r>
        <w:t xml:space="preserve"> novin</w:t>
      </w:r>
    </w:p>
    <w:p w:rsidR="00B85FCE" w:rsidRDefault="00B85FCE" w:rsidP="00D57AD3">
      <w:pPr>
        <w:pStyle w:val="Bezmezer"/>
      </w:pPr>
      <w:r>
        <w:t xml:space="preserve">             </w:t>
      </w:r>
      <w:r w:rsidR="00293B1E">
        <w:t xml:space="preserve"> </w:t>
      </w:r>
      <w:r>
        <w:t xml:space="preserve"> b) nákup materiálu</w:t>
      </w:r>
    </w:p>
    <w:p w:rsidR="00B85FCE" w:rsidRDefault="00B85FCE" w:rsidP="00D57AD3">
      <w:pPr>
        <w:pStyle w:val="Bezmezer"/>
        <w:numPr>
          <w:ilvl w:val="0"/>
          <w:numId w:val="6"/>
        </w:numPr>
      </w:pPr>
      <w:r>
        <w:t>Pravidelně se opakující platby:</w:t>
      </w:r>
    </w:p>
    <w:p w:rsidR="00345458" w:rsidRDefault="00D57AD3" w:rsidP="00D57AD3">
      <w:pPr>
        <w:pStyle w:val="Bezmezer"/>
      </w:pPr>
      <w:r>
        <w:t xml:space="preserve">         </w:t>
      </w:r>
      <w:r w:rsidR="00AB640B">
        <w:t xml:space="preserve">  </w:t>
      </w:r>
      <w:r>
        <w:t xml:space="preserve">  </w:t>
      </w:r>
      <w:r w:rsidR="00B85FCE">
        <w:t xml:space="preserve"> a) pojistné</w:t>
      </w:r>
    </w:p>
    <w:p w:rsidR="00B85FCE" w:rsidRDefault="00D57AD3" w:rsidP="00D57AD3">
      <w:pPr>
        <w:pStyle w:val="Bezmezer"/>
      </w:pPr>
      <w:r>
        <w:t xml:space="preserve">           </w:t>
      </w:r>
      <w:r w:rsidR="00AB640B">
        <w:t xml:space="preserve"> </w:t>
      </w:r>
      <w:r>
        <w:t xml:space="preserve">  </w:t>
      </w:r>
      <w:r w:rsidR="00B85FCE">
        <w:t>b) členské příspěvky</w:t>
      </w:r>
    </w:p>
    <w:p w:rsidR="00B85FCE" w:rsidRDefault="00B85FCE" w:rsidP="00D57AD3">
      <w:pPr>
        <w:pStyle w:val="Bezmezer"/>
      </w:pPr>
    </w:p>
    <w:p w:rsidR="00345458" w:rsidRDefault="00345458" w:rsidP="00D57AD3">
      <w:pPr>
        <w:pStyle w:val="Bezmezer"/>
        <w:numPr>
          <w:ilvl w:val="0"/>
          <w:numId w:val="6"/>
        </w:numPr>
      </w:pPr>
      <w:r>
        <w:t>Cestovné (pracovní cesty zahájeny v běžném ob</w:t>
      </w:r>
      <w:r w:rsidR="00B85FCE">
        <w:t>dobí, ukončeném v následujícím)</w:t>
      </w:r>
    </w:p>
    <w:p w:rsidR="00B85FCE" w:rsidRPr="00B85FCE" w:rsidRDefault="00B85FCE" w:rsidP="00D57AD3">
      <w:pPr>
        <w:pStyle w:val="Bezmezer"/>
        <w:numPr>
          <w:ilvl w:val="0"/>
          <w:numId w:val="21"/>
        </w:numPr>
      </w:pPr>
      <w:r>
        <w:t xml:space="preserve">Nevýznamné částky nepřesahující 500.000,- Kč- </w:t>
      </w:r>
      <w:r w:rsidRPr="00B85FCE">
        <w:rPr>
          <w:u w:val="single"/>
        </w:rPr>
        <w:t>týkající se</w:t>
      </w:r>
      <w:r>
        <w:rPr>
          <w:u w:val="single"/>
        </w:rPr>
        <w:t xml:space="preserve"> výnosů</w:t>
      </w:r>
    </w:p>
    <w:p w:rsidR="00B85FCE" w:rsidRPr="00B85FCE" w:rsidRDefault="00D57AD3" w:rsidP="00D57AD3">
      <w:pPr>
        <w:pStyle w:val="Bezmezer"/>
      </w:pPr>
      <w:r>
        <w:t xml:space="preserve">               </w:t>
      </w:r>
      <w:r w:rsidR="00B85FCE" w:rsidRPr="00B85FCE">
        <w:t>a) nájmy</w:t>
      </w:r>
    </w:p>
    <w:p w:rsidR="00B85FCE" w:rsidRDefault="00D57AD3" w:rsidP="00D57AD3">
      <w:pPr>
        <w:pStyle w:val="Bezmezer"/>
      </w:pPr>
      <w:r>
        <w:t xml:space="preserve">               </w:t>
      </w:r>
      <w:r w:rsidR="00B85FCE" w:rsidRPr="00B85FCE">
        <w:t>b) úroky</w:t>
      </w:r>
    </w:p>
    <w:p w:rsidR="00B85FCE" w:rsidRDefault="00B85FCE" w:rsidP="00B85FCE">
      <w:pPr>
        <w:pStyle w:val="Odstavecseseznamem"/>
        <w:ind w:left="2160"/>
        <w:jc w:val="both"/>
      </w:pPr>
    </w:p>
    <w:p w:rsidR="00345458" w:rsidRPr="00D57AD3" w:rsidRDefault="00B16932" w:rsidP="00D57AD3">
      <w:pPr>
        <w:pStyle w:val="Odstavecseseznamem"/>
        <w:numPr>
          <w:ilvl w:val="0"/>
          <w:numId w:val="21"/>
        </w:numPr>
        <w:rPr>
          <w:u w:val="single"/>
        </w:rPr>
      </w:pPr>
      <w:r w:rsidRPr="00D57AD3">
        <w:rPr>
          <w:u w:val="single"/>
        </w:rPr>
        <w:lastRenderedPageBreak/>
        <w:t>Časově se rozlišuje:</w:t>
      </w:r>
    </w:p>
    <w:p w:rsidR="00B16932" w:rsidRDefault="00B16932" w:rsidP="00D57AD3">
      <w:pPr>
        <w:pStyle w:val="Odstavecseseznamem"/>
        <w:numPr>
          <w:ilvl w:val="0"/>
          <w:numId w:val="23"/>
        </w:numPr>
      </w:pPr>
      <w:r>
        <w:t>Spotřeba vod a energií</w:t>
      </w:r>
    </w:p>
    <w:p w:rsidR="00B16932" w:rsidRDefault="00B16932" w:rsidP="00D57AD3">
      <w:pPr>
        <w:pStyle w:val="Bezmezer"/>
        <w:tabs>
          <w:tab w:val="left" w:pos="851"/>
        </w:tabs>
        <w:ind w:left="709"/>
        <w:jc w:val="both"/>
      </w:pPr>
      <w:r w:rsidRPr="003719CF">
        <w:t xml:space="preserve">Tam, kde se platí zálohy, bude </w:t>
      </w:r>
      <w:r w:rsidR="00FD02F7" w:rsidRPr="003719CF">
        <w:t>vytvořena</w:t>
      </w:r>
      <w:r w:rsidRPr="003719CF">
        <w:t xml:space="preserve"> dohadná položka </w:t>
      </w:r>
      <w:r w:rsidR="00FD02F7" w:rsidRPr="003719CF">
        <w:t xml:space="preserve">ve </w:t>
      </w:r>
      <w:r w:rsidRPr="003719CF">
        <w:t>výš</w:t>
      </w:r>
      <w:r w:rsidR="00FD02F7" w:rsidRPr="003719CF">
        <w:t>i</w:t>
      </w:r>
      <w:r w:rsidRPr="003719CF">
        <w:t xml:space="preserve"> záloh </w:t>
      </w:r>
      <w:r w:rsidR="00FD02F7" w:rsidRPr="003719CF">
        <w:t xml:space="preserve">proplacených </w:t>
      </w:r>
      <w:r w:rsidRPr="003719CF">
        <w:t>v běžném roce.</w:t>
      </w:r>
      <w:r>
        <w:t xml:space="preserve"> V případech, kdy se neplatí zálohy, bude vytvořena dohadná položka dle posledního zúčtování (případně vypočtená dle skutečně zjištěné výše spotřeby). Dohadná položka na vodné bude </w:t>
      </w:r>
      <w:r w:rsidR="00FD02F7" w:rsidRPr="003719CF">
        <w:t>z</w:t>
      </w:r>
      <w:r w:rsidRPr="003719CF">
        <w:t>účtována při obdržení</w:t>
      </w:r>
      <w:r>
        <w:t xml:space="preserve"> zúčtování v průběhu období, pokud lze další fakturu očekávat až po uzavření účetních knih.</w:t>
      </w:r>
    </w:p>
    <w:p w:rsidR="00B16932" w:rsidRDefault="00B16932" w:rsidP="00D57AD3">
      <w:pPr>
        <w:pStyle w:val="Bezmezer"/>
        <w:tabs>
          <w:tab w:val="left" w:pos="851"/>
        </w:tabs>
        <w:ind w:left="709"/>
        <w:jc w:val="both"/>
      </w:pPr>
      <w:r>
        <w:t xml:space="preserve">V případě, že uhrazená záloha nebo faktura z minulého účetního období jsou </w:t>
      </w:r>
      <w:r w:rsidR="00EF7246">
        <w:t xml:space="preserve">výrazně odlišné od očekávané hodnoty spotřeby, bude dohadná </w:t>
      </w:r>
      <w:r w:rsidR="00E05826">
        <w:t>položka vyměřena</w:t>
      </w:r>
      <w:r w:rsidR="00EF7246">
        <w:t xml:space="preserve"> dle naměřených hodnot spotřeby a platných cen a sazeb dodávky k datu účtování o časovém rozlišení.</w:t>
      </w:r>
    </w:p>
    <w:p w:rsidR="00B85FCE" w:rsidRDefault="00B85FCE" w:rsidP="00B85FCE">
      <w:pPr>
        <w:pStyle w:val="Odstavecseseznamem"/>
        <w:ind w:left="2160"/>
        <w:jc w:val="both"/>
      </w:pPr>
    </w:p>
    <w:p w:rsidR="00B16932" w:rsidRPr="00D57AD3" w:rsidRDefault="00B16932" w:rsidP="00D57AD3">
      <w:pPr>
        <w:pStyle w:val="Odstavecseseznamem"/>
        <w:numPr>
          <w:ilvl w:val="0"/>
          <w:numId w:val="21"/>
        </w:numPr>
        <w:rPr>
          <w:u w:val="single"/>
        </w:rPr>
      </w:pPr>
      <w:r w:rsidRPr="00D57AD3">
        <w:rPr>
          <w:u w:val="single"/>
        </w:rPr>
        <w:t xml:space="preserve">Přijatá </w:t>
      </w:r>
      <w:proofErr w:type="gramStart"/>
      <w:r w:rsidRPr="00D57AD3">
        <w:rPr>
          <w:u w:val="single"/>
        </w:rPr>
        <w:t>plnění</w:t>
      </w:r>
      <w:r w:rsidR="00D57AD3">
        <w:rPr>
          <w:u w:val="single"/>
        </w:rPr>
        <w:t xml:space="preserve"> :</w:t>
      </w:r>
      <w:proofErr w:type="gramEnd"/>
    </w:p>
    <w:p w:rsidR="007649DC" w:rsidRDefault="007649DC" w:rsidP="007649DC">
      <w:pPr>
        <w:pStyle w:val="Bezmezer"/>
      </w:pPr>
      <w:r>
        <w:t xml:space="preserve">         a) </w:t>
      </w:r>
      <w:r w:rsidR="00EF7246" w:rsidRPr="007649DC">
        <w:t>Faktury za plnění</w:t>
      </w:r>
      <w:r w:rsidR="00EF7246">
        <w:t xml:space="preserve">, jejichž dodávka byla ukončena v běžném období a které byly přijaty </w:t>
      </w:r>
    </w:p>
    <w:p w:rsidR="007649DC" w:rsidRDefault="007649DC" w:rsidP="007649DC">
      <w:pPr>
        <w:pStyle w:val="Bezmezer"/>
      </w:pPr>
      <w:r>
        <w:t xml:space="preserve">             </w:t>
      </w:r>
      <w:r w:rsidR="00EF7246">
        <w:t xml:space="preserve">v následujícím období do </w:t>
      </w:r>
      <w:proofErr w:type="gramStart"/>
      <w:r w:rsidR="00B85FCE">
        <w:t>15.dne</w:t>
      </w:r>
      <w:proofErr w:type="gramEnd"/>
      <w:r w:rsidR="00B85FCE">
        <w:t xml:space="preserve"> následujícího období</w:t>
      </w:r>
      <w:r w:rsidR="00EF7246">
        <w:t xml:space="preserve"> budou zapsány do knihy faktur běžného </w:t>
      </w:r>
    </w:p>
    <w:p w:rsidR="00EF7246" w:rsidRDefault="007649DC" w:rsidP="007649DC">
      <w:pPr>
        <w:pStyle w:val="Bezmezer"/>
      </w:pPr>
      <w:r>
        <w:t xml:space="preserve">             </w:t>
      </w:r>
      <w:r w:rsidR="00EF7246">
        <w:t xml:space="preserve">období a zaúčtovány do nákladů běžného období. </w:t>
      </w:r>
    </w:p>
    <w:p w:rsidR="007649DC" w:rsidRDefault="007649DC" w:rsidP="007649DC">
      <w:pPr>
        <w:pStyle w:val="Bezmezer"/>
      </w:pPr>
      <w:r>
        <w:t xml:space="preserve">          </w:t>
      </w:r>
      <w:r w:rsidRPr="007649DC">
        <w:t xml:space="preserve">b) </w:t>
      </w:r>
      <w:r w:rsidR="00EF7246" w:rsidRPr="007649DC">
        <w:t>Došlé faktury</w:t>
      </w:r>
      <w:r w:rsidR="00EF7246" w:rsidRPr="003719CF">
        <w:t xml:space="preserve"> za přijatá plnění poskytnutá v běžném účetním období, které dojdou do </w:t>
      </w:r>
      <w:r w:rsidR="00E05826" w:rsidRPr="003719CF">
        <w:t xml:space="preserve">účetní </w:t>
      </w:r>
    </w:p>
    <w:p w:rsidR="007649DC" w:rsidRDefault="007649DC" w:rsidP="007649DC">
      <w:pPr>
        <w:pStyle w:val="Bezmezer"/>
      </w:pPr>
      <w:r>
        <w:t xml:space="preserve">              </w:t>
      </w:r>
      <w:r w:rsidR="00E05826" w:rsidRPr="003719CF">
        <w:t>jednotky</w:t>
      </w:r>
      <w:r w:rsidR="00EF7246" w:rsidRPr="003719CF">
        <w:t xml:space="preserve"> po účetní závěrce, budou zapisovány do deníku účetního období dle data přijetí a </w:t>
      </w:r>
    </w:p>
    <w:p w:rsidR="007649DC" w:rsidRDefault="007649DC" w:rsidP="007649DC">
      <w:pPr>
        <w:pStyle w:val="Bezmezer"/>
      </w:pPr>
      <w:r>
        <w:t xml:space="preserve">              </w:t>
      </w:r>
      <w:r w:rsidR="00EF7246" w:rsidRPr="003719CF">
        <w:t>účtovány na vrub účtu nákladů období následujícího, pokud na ně nebyl</w:t>
      </w:r>
      <w:r w:rsidR="00B97398" w:rsidRPr="003719CF">
        <w:t>a</w:t>
      </w:r>
      <w:r w:rsidR="00EF7246" w:rsidRPr="003719CF">
        <w:t xml:space="preserve"> vytvořen</w:t>
      </w:r>
      <w:r w:rsidR="00B97398" w:rsidRPr="003719CF">
        <w:t>a</w:t>
      </w:r>
      <w:r w:rsidR="00EF7246" w:rsidRPr="003719CF">
        <w:t xml:space="preserve"> dohadn</w:t>
      </w:r>
      <w:r w:rsidR="00B97398" w:rsidRPr="003719CF">
        <w:t>á</w:t>
      </w:r>
      <w:r w:rsidR="00EF7246" w:rsidRPr="003719CF">
        <w:t xml:space="preserve">  </w:t>
      </w:r>
    </w:p>
    <w:p w:rsidR="00EF7246" w:rsidRPr="003719CF" w:rsidRDefault="007649DC" w:rsidP="007649DC">
      <w:pPr>
        <w:pStyle w:val="Bezmezer"/>
      </w:pPr>
      <w:r>
        <w:t xml:space="preserve">              </w:t>
      </w:r>
      <w:r w:rsidR="00EF7246" w:rsidRPr="003719CF">
        <w:t>pasivní</w:t>
      </w:r>
      <w:r w:rsidR="00B97398" w:rsidRPr="003719CF">
        <w:t xml:space="preserve"> položka</w:t>
      </w:r>
      <w:r w:rsidR="00EF7246" w:rsidRPr="003719CF">
        <w:t xml:space="preserve">. </w:t>
      </w:r>
    </w:p>
    <w:p w:rsidR="007649DC" w:rsidRDefault="007649DC" w:rsidP="007649DC">
      <w:pPr>
        <w:pStyle w:val="Bezmezer"/>
      </w:pPr>
      <w:r>
        <w:t xml:space="preserve">          </w:t>
      </w:r>
      <w:r w:rsidRPr="007649DC">
        <w:t xml:space="preserve">c) </w:t>
      </w:r>
      <w:r w:rsidR="00EF7246" w:rsidRPr="007649DC">
        <w:t>Faktury</w:t>
      </w:r>
      <w:r w:rsidR="00EF7246" w:rsidRPr="003719CF">
        <w:t xml:space="preserve"> za pořízení zásob či vedlejších nákladů na pořízení zásob přijaté po účetní závěrce, i </w:t>
      </w:r>
    </w:p>
    <w:p w:rsidR="007649DC" w:rsidRDefault="007649DC" w:rsidP="007649DC">
      <w:pPr>
        <w:pStyle w:val="Bezmezer"/>
      </w:pPr>
      <w:r>
        <w:t xml:space="preserve">              </w:t>
      </w:r>
      <w:r w:rsidR="00EF7246" w:rsidRPr="003719CF">
        <w:t xml:space="preserve">když došlo k plnění v běžném období, budou zúčtovány na příslušné účty zásob následujícího </w:t>
      </w:r>
    </w:p>
    <w:p w:rsidR="00EF7246" w:rsidRDefault="007649DC" w:rsidP="007649DC">
      <w:pPr>
        <w:pStyle w:val="Bezmezer"/>
      </w:pPr>
      <w:r>
        <w:t xml:space="preserve">             </w:t>
      </w:r>
      <w:r w:rsidR="00EF7246" w:rsidRPr="003719CF">
        <w:t>období, pokud na ně nebyl</w:t>
      </w:r>
      <w:r w:rsidR="00B97398" w:rsidRPr="003719CF">
        <w:t>a</w:t>
      </w:r>
      <w:r w:rsidR="00EF7246" w:rsidRPr="003719CF">
        <w:t xml:space="preserve"> vytvořen</w:t>
      </w:r>
      <w:r w:rsidR="00B97398" w:rsidRPr="003719CF">
        <w:t>a</w:t>
      </w:r>
      <w:r w:rsidR="00EF7246" w:rsidRPr="003719CF">
        <w:t xml:space="preserve"> dohadn</w:t>
      </w:r>
      <w:r w:rsidR="00B97398" w:rsidRPr="003719CF">
        <w:t>á</w:t>
      </w:r>
      <w:r w:rsidR="00EF7246" w:rsidRPr="003719CF">
        <w:t xml:space="preserve"> pasivní</w:t>
      </w:r>
      <w:r w:rsidR="00B97398" w:rsidRPr="003719CF">
        <w:t xml:space="preserve"> položka</w:t>
      </w:r>
      <w:r w:rsidR="00EF7246" w:rsidRPr="003719CF">
        <w:t>.</w:t>
      </w:r>
      <w:r w:rsidR="00EF7246">
        <w:t xml:space="preserve"> </w:t>
      </w:r>
    </w:p>
    <w:p w:rsidR="007649DC" w:rsidRDefault="007649DC" w:rsidP="007649DC">
      <w:pPr>
        <w:pStyle w:val="Bezmezer"/>
      </w:pPr>
    </w:p>
    <w:p w:rsidR="00B16932" w:rsidRDefault="00B16932" w:rsidP="007649DC">
      <w:pPr>
        <w:pStyle w:val="Odstavecseseznamem"/>
        <w:numPr>
          <w:ilvl w:val="0"/>
          <w:numId w:val="21"/>
        </w:numPr>
      </w:pPr>
      <w:r w:rsidRPr="007649DC">
        <w:rPr>
          <w:u w:val="single"/>
        </w:rPr>
        <w:t>Poskytnutá plnění</w:t>
      </w:r>
      <w:r w:rsidR="007649DC">
        <w:t>:</w:t>
      </w:r>
    </w:p>
    <w:p w:rsidR="007649DC" w:rsidRDefault="007649DC" w:rsidP="00AB640B">
      <w:pPr>
        <w:pStyle w:val="Bezmezer"/>
      </w:pPr>
      <w:r>
        <w:t xml:space="preserve">             </w:t>
      </w:r>
      <w:r w:rsidR="00EF7246">
        <w:t xml:space="preserve">Na všechny provedená a dle smluv ukončené práce v účetním období musí být vystavena </w:t>
      </w:r>
    </w:p>
    <w:p w:rsidR="007649DC" w:rsidRDefault="007649DC" w:rsidP="00AB640B">
      <w:pPr>
        <w:pStyle w:val="Bezmezer"/>
      </w:pPr>
      <w:r>
        <w:t xml:space="preserve">             </w:t>
      </w:r>
      <w:r w:rsidR="00EF7246">
        <w:t xml:space="preserve">faktura. Za předání příslušných podkladů k fakturaci do 15. dne následujícího období odpovídá </w:t>
      </w:r>
    </w:p>
    <w:p w:rsidR="007649DC" w:rsidRDefault="007649DC" w:rsidP="00AB640B">
      <w:pPr>
        <w:pStyle w:val="Bezmezer"/>
      </w:pPr>
      <w:r>
        <w:t xml:space="preserve">            </w:t>
      </w:r>
      <w:r w:rsidR="00EF7246">
        <w:t xml:space="preserve">starosta. Všechny provedené výkony a dodávky za běžné období musí být proúčtovány </w:t>
      </w:r>
      <w:proofErr w:type="gramStart"/>
      <w:r w:rsidR="00EF7246">
        <w:t>do</w:t>
      </w:r>
      <w:proofErr w:type="gramEnd"/>
      <w:r w:rsidR="00EF7246">
        <w:t xml:space="preserve"> </w:t>
      </w:r>
    </w:p>
    <w:p w:rsidR="007649DC" w:rsidRDefault="007649DC" w:rsidP="00AB640B">
      <w:pPr>
        <w:pStyle w:val="Bezmezer"/>
      </w:pPr>
      <w:r>
        <w:t xml:space="preserve">          </w:t>
      </w:r>
      <w:r w:rsidR="00AB640B">
        <w:t xml:space="preserve"> </w:t>
      </w:r>
      <w:r>
        <w:t xml:space="preserve">  </w:t>
      </w:r>
      <w:r w:rsidR="00EF7246">
        <w:t xml:space="preserve">výnosů běžného období. Za tím účelem je udržována kniha odeslaných faktur i po rozvahovém </w:t>
      </w:r>
    </w:p>
    <w:p w:rsidR="007649DC" w:rsidRDefault="007649DC" w:rsidP="00AB640B">
      <w:pPr>
        <w:pStyle w:val="Bezmezer"/>
      </w:pPr>
      <w:r>
        <w:t xml:space="preserve">          </w:t>
      </w:r>
      <w:r w:rsidR="00AB640B">
        <w:t xml:space="preserve"> </w:t>
      </w:r>
      <w:r>
        <w:t xml:space="preserve">  </w:t>
      </w:r>
      <w:r w:rsidR="00EF7246">
        <w:t xml:space="preserve">dni do téhož dne jako kniha došlých faktur. Pokud by výjimečně nebyla vystavena faktura, je </w:t>
      </w:r>
    </w:p>
    <w:p w:rsidR="00AB640B" w:rsidRDefault="007649DC" w:rsidP="00AB640B">
      <w:pPr>
        <w:pStyle w:val="Bezmezer"/>
      </w:pPr>
      <w:r>
        <w:t xml:space="preserve">           </w:t>
      </w:r>
      <w:r w:rsidR="00AB640B">
        <w:t xml:space="preserve"> </w:t>
      </w:r>
      <w:r>
        <w:t xml:space="preserve"> </w:t>
      </w:r>
      <w:r w:rsidR="00EF7246">
        <w:t xml:space="preserve">nutno zabezpečit zúčtování příjmů příštích období nebo dohadnou položku aktivní, pokud </w:t>
      </w:r>
    </w:p>
    <w:p w:rsidR="00EF7246" w:rsidRDefault="00AB640B" w:rsidP="00AB640B">
      <w:pPr>
        <w:pStyle w:val="Bezmezer"/>
      </w:pPr>
      <w:r>
        <w:t xml:space="preserve">             </w:t>
      </w:r>
      <w:proofErr w:type="gramStart"/>
      <w:r w:rsidR="00EF7246">
        <w:t xml:space="preserve">není </w:t>
      </w:r>
      <w:r w:rsidR="007649DC">
        <w:t xml:space="preserve"> </w:t>
      </w:r>
      <w:r w:rsidR="00EF7246">
        <w:t>známa</w:t>
      </w:r>
      <w:proofErr w:type="gramEnd"/>
      <w:r w:rsidR="00EF7246">
        <w:t xml:space="preserve"> částka. Za vystavení faktur odpovídá účetní. </w:t>
      </w:r>
    </w:p>
    <w:p w:rsidR="007649DC" w:rsidRDefault="007649DC" w:rsidP="007649DC">
      <w:pPr>
        <w:pStyle w:val="Bezmezer"/>
      </w:pPr>
    </w:p>
    <w:p w:rsidR="00B16932" w:rsidRPr="007649DC" w:rsidRDefault="00B16932" w:rsidP="007649DC">
      <w:pPr>
        <w:pStyle w:val="Odstavecseseznamem"/>
        <w:numPr>
          <w:ilvl w:val="0"/>
          <w:numId w:val="21"/>
        </w:numPr>
        <w:jc w:val="both"/>
        <w:rPr>
          <w:u w:val="single"/>
        </w:rPr>
      </w:pPr>
      <w:r w:rsidRPr="007649DC">
        <w:rPr>
          <w:u w:val="single"/>
        </w:rPr>
        <w:t xml:space="preserve">Dotace a </w:t>
      </w:r>
      <w:r w:rsidR="00E05826" w:rsidRPr="007649DC">
        <w:rPr>
          <w:u w:val="single"/>
        </w:rPr>
        <w:t>transfery poskytnuté</w:t>
      </w:r>
      <w:r w:rsidRPr="007649DC">
        <w:rPr>
          <w:u w:val="single"/>
        </w:rPr>
        <w:t xml:space="preserve"> na více období</w:t>
      </w:r>
      <w:r w:rsidR="007649DC">
        <w:rPr>
          <w:u w:val="single"/>
        </w:rPr>
        <w:t>:</w:t>
      </w:r>
    </w:p>
    <w:p w:rsidR="00EF7246" w:rsidRDefault="007649DC" w:rsidP="007649DC">
      <w:r>
        <w:t xml:space="preserve">              </w:t>
      </w:r>
      <w:r w:rsidR="00271674">
        <w:t xml:space="preserve">Řešeno českým účetním </w:t>
      </w:r>
      <w:proofErr w:type="spellStart"/>
      <w:r w:rsidR="00271674">
        <w:t>standartem</w:t>
      </w:r>
      <w:proofErr w:type="spellEnd"/>
      <w:r w:rsidR="00271674">
        <w:t xml:space="preserve"> pro ÚSC 703.</w:t>
      </w:r>
    </w:p>
    <w:p w:rsidR="00AB640B" w:rsidRDefault="00AB640B" w:rsidP="00AB640B">
      <w:pPr>
        <w:rPr>
          <w:b/>
        </w:rPr>
      </w:pPr>
      <w:r>
        <w:rPr>
          <w:b/>
        </w:rPr>
        <w:t xml:space="preserve">                                     </w:t>
      </w:r>
    </w:p>
    <w:p w:rsidR="00AB640B" w:rsidRDefault="00AB640B" w:rsidP="00AB640B">
      <w:pPr>
        <w:rPr>
          <w:b/>
        </w:rPr>
      </w:pPr>
    </w:p>
    <w:p w:rsidR="00AB640B" w:rsidRDefault="00AB640B" w:rsidP="00AB640B">
      <w:pPr>
        <w:rPr>
          <w:b/>
        </w:rPr>
      </w:pPr>
    </w:p>
    <w:p w:rsidR="00AB640B" w:rsidRDefault="00AB640B" w:rsidP="00AB640B">
      <w:pPr>
        <w:rPr>
          <w:b/>
        </w:rPr>
      </w:pPr>
      <w:r>
        <w:rPr>
          <w:b/>
        </w:rPr>
        <w:t xml:space="preserve"> </w:t>
      </w:r>
    </w:p>
    <w:p w:rsidR="00AB640B" w:rsidRDefault="00AB640B" w:rsidP="00AB640B">
      <w:pPr>
        <w:rPr>
          <w:b/>
        </w:rPr>
      </w:pPr>
    </w:p>
    <w:p w:rsidR="00AB640B" w:rsidRDefault="00AB640B" w:rsidP="00AB640B">
      <w:pPr>
        <w:rPr>
          <w:b/>
        </w:rPr>
      </w:pPr>
    </w:p>
    <w:p w:rsidR="00AB640B" w:rsidRDefault="00AB640B" w:rsidP="00AB640B">
      <w:pPr>
        <w:rPr>
          <w:b/>
        </w:rPr>
      </w:pPr>
    </w:p>
    <w:p w:rsidR="00AB640B" w:rsidRDefault="00AB640B" w:rsidP="00AB640B">
      <w:pPr>
        <w:rPr>
          <w:b/>
        </w:rPr>
      </w:pPr>
    </w:p>
    <w:p w:rsidR="00AB640B" w:rsidRDefault="00AB640B" w:rsidP="00AB640B">
      <w:pPr>
        <w:rPr>
          <w:b/>
        </w:rPr>
      </w:pPr>
    </w:p>
    <w:p w:rsidR="00091FAF" w:rsidRPr="00AB640B" w:rsidRDefault="00AB640B" w:rsidP="00AB640B">
      <w:pPr>
        <w:rPr>
          <w:b/>
        </w:rPr>
      </w:pPr>
      <w:r>
        <w:rPr>
          <w:b/>
        </w:rPr>
        <w:lastRenderedPageBreak/>
        <w:t xml:space="preserve">                                            </w:t>
      </w:r>
      <w:r w:rsidR="00091FAF" w:rsidRPr="00AB640B">
        <w:rPr>
          <w:b/>
        </w:rPr>
        <w:t>Účty účtové osnovy pro časové rozlišení</w:t>
      </w:r>
    </w:p>
    <w:p w:rsidR="007649DC" w:rsidRDefault="007649DC" w:rsidP="00B85FCE">
      <w:pPr>
        <w:pStyle w:val="Odstavecseseznamem"/>
        <w:ind w:left="1080"/>
        <w:rPr>
          <w:b/>
        </w:rPr>
      </w:pPr>
    </w:p>
    <w:tbl>
      <w:tblPr>
        <w:tblStyle w:val="Mkatabulky"/>
        <w:tblW w:w="0" w:type="auto"/>
        <w:tblInd w:w="1080" w:type="dxa"/>
        <w:tblLook w:val="04A0"/>
      </w:tblPr>
      <w:tblGrid>
        <w:gridCol w:w="1212"/>
        <w:gridCol w:w="1158"/>
        <w:gridCol w:w="1119"/>
        <w:gridCol w:w="1092"/>
        <w:gridCol w:w="1203"/>
        <w:gridCol w:w="1183"/>
      </w:tblGrid>
      <w:tr w:rsidR="00536FEA" w:rsidTr="00536FEA">
        <w:tc>
          <w:tcPr>
            <w:tcW w:w="1212" w:type="dxa"/>
          </w:tcPr>
          <w:p w:rsidR="00536FEA" w:rsidRDefault="00536FEA" w:rsidP="00536FEA">
            <w:pPr>
              <w:pStyle w:val="Odstavecseseznamem"/>
              <w:ind w:left="0"/>
              <w:rPr>
                <w:b/>
              </w:rPr>
            </w:pPr>
            <w:r>
              <w:rPr>
                <w:b/>
              </w:rPr>
              <w:t>Časové rozlišení</w:t>
            </w:r>
          </w:p>
        </w:tc>
        <w:tc>
          <w:tcPr>
            <w:tcW w:w="1158" w:type="dxa"/>
          </w:tcPr>
          <w:p w:rsidR="00536FEA" w:rsidRDefault="00536FEA" w:rsidP="00536FEA">
            <w:pPr>
              <w:pStyle w:val="Odstavecseseznamem"/>
              <w:ind w:left="0"/>
              <w:rPr>
                <w:b/>
              </w:rPr>
            </w:pPr>
            <w:r>
              <w:rPr>
                <w:b/>
              </w:rPr>
              <w:t>Název</w:t>
            </w:r>
          </w:p>
        </w:tc>
        <w:tc>
          <w:tcPr>
            <w:tcW w:w="1119" w:type="dxa"/>
          </w:tcPr>
          <w:p w:rsidR="00536FEA" w:rsidRDefault="00536FEA" w:rsidP="00536FEA">
            <w:pPr>
              <w:pStyle w:val="Odstavecseseznamem"/>
              <w:ind w:left="0"/>
              <w:rPr>
                <w:b/>
              </w:rPr>
            </w:pPr>
            <w:r>
              <w:rPr>
                <w:b/>
              </w:rPr>
              <w:t>číslo</w:t>
            </w:r>
          </w:p>
        </w:tc>
        <w:tc>
          <w:tcPr>
            <w:tcW w:w="1092" w:type="dxa"/>
          </w:tcPr>
          <w:p w:rsidR="00536FEA" w:rsidRDefault="00536FEA" w:rsidP="00536FEA">
            <w:pPr>
              <w:pStyle w:val="Odstavecseseznamem"/>
              <w:ind w:left="0"/>
              <w:rPr>
                <w:b/>
              </w:rPr>
            </w:pPr>
            <w:r>
              <w:rPr>
                <w:b/>
              </w:rPr>
              <w:t>typ</w:t>
            </w:r>
          </w:p>
        </w:tc>
        <w:tc>
          <w:tcPr>
            <w:tcW w:w="1203" w:type="dxa"/>
          </w:tcPr>
          <w:p w:rsidR="00536FEA" w:rsidRDefault="00536FEA" w:rsidP="00536FEA">
            <w:pPr>
              <w:pStyle w:val="Odstavecseseznamem"/>
              <w:ind w:left="0"/>
              <w:rPr>
                <w:b/>
              </w:rPr>
            </w:pPr>
            <w:r>
              <w:rPr>
                <w:b/>
              </w:rPr>
              <w:t>V běžném období</w:t>
            </w:r>
          </w:p>
        </w:tc>
        <w:tc>
          <w:tcPr>
            <w:tcW w:w="1183" w:type="dxa"/>
          </w:tcPr>
          <w:p w:rsidR="00536FEA" w:rsidRDefault="00536FEA" w:rsidP="00536FEA">
            <w:pPr>
              <w:pStyle w:val="Odstavecseseznamem"/>
              <w:ind w:left="0"/>
              <w:rPr>
                <w:b/>
              </w:rPr>
            </w:pPr>
            <w:r>
              <w:rPr>
                <w:b/>
              </w:rPr>
              <w:t>V příštím období</w:t>
            </w:r>
          </w:p>
        </w:tc>
      </w:tr>
      <w:tr w:rsidR="00536FEA" w:rsidTr="00536FEA">
        <w:tc>
          <w:tcPr>
            <w:tcW w:w="1212" w:type="dxa"/>
            <w:vMerge w:val="restart"/>
          </w:tcPr>
          <w:p w:rsidR="00536FEA" w:rsidRDefault="00536FEA" w:rsidP="00536FEA">
            <w:pPr>
              <w:pStyle w:val="Odstavecseseznamem"/>
              <w:ind w:left="0"/>
              <w:rPr>
                <w:b/>
              </w:rPr>
            </w:pPr>
            <w:r>
              <w:rPr>
                <w:b/>
              </w:rPr>
              <w:t>Nákladů</w:t>
            </w:r>
          </w:p>
        </w:tc>
        <w:tc>
          <w:tcPr>
            <w:tcW w:w="1158" w:type="dxa"/>
          </w:tcPr>
          <w:p w:rsidR="00536FEA" w:rsidRDefault="00536FEA" w:rsidP="00536FEA">
            <w:pPr>
              <w:pStyle w:val="Odstavecseseznamem"/>
              <w:ind w:left="0"/>
              <w:rPr>
                <w:b/>
              </w:rPr>
            </w:pPr>
            <w:r>
              <w:rPr>
                <w:b/>
              </w:rPr>
              <w:t>Náklady příštích období</w:t>
            </w:r>
          </w:p>
        </w:tc>
        <w:tc>
          <w:tcPr>
            <w:tcW w:w="1119" w:type="dxa"/>
          </w:tcPr>
          <w:p w:rsidR="00536FEA" w:rsidRDefault="00536FEA" w:rsidP="00536FEA">
            <w:pPr>
              <w:pStyle w:val="Odstavecseseznamem"/>
              <w:ind w:left="0"/>
              <w:rPr>
                <w:b/>
              </w:rPr>
            </w:pPr>
            <w:r>
              <w:rPr>
                <w:b/>
              </w:rPr>
              <w:t>381</w:t>
            </w:r>
          </w:p>
        </w:tc>
        <w:tc>
          <w:tcPr>
            <w:tcW w:w="1092" w:type="dxa"/>
          </w:tcPr>
          <w:p w:rsidR="00536FEA" w:rsidRDefault="00536FEA" w:rsidP="00536FEA">
            <w:pPr>
              <w:pStyle w:val="Odstavecseseznamem"/>
              <w:ind w:left="0"/>
              <w:rPr>
                <w:b/>
              </w:rPr>
            </w:pPr>
            <w:r>
              <w:rPr>
                <w:b/>
              </w:rPr>
              <w:t>aktivní</w:t>
            </w:r>
          </w:p>
        </w:tc>
        <w:tc>
          <w:tcPr>
            <w:tcW w:w="1203" w:type="dxa"/>
          </w:tcPr>
          <w:p w:rsidR="00536FEA" w:rsidRDefault="00536FEA" w:rsidP="00536FEA">
            <w:pPr>
              <w:pStyle w:val="Odstavecseseznamem"/>
              <w:ind w:left="0"/>
              <w:rPr>
                <w:b/>
              </w:rPr>
            </w:pPr>
            <w:r>
              <w:rPr>
                <w:b/>
              </w:rPr>
              <w:t>výdaj</w:t>
            </w:r>
          </w:p>
        </w:tc>
        <w:tc>
          <w:tcPr>
            <w:tcW w:w="1183" w:type="dxa"/>
          </w:tcPr>
          <w:p w:rsidR="00536FEA" w:rsidRDefault="00536FEA" w:rsidP="00536FEA">
            <w:pPr>
              <w:pStyle w:val="Odstavecseseznamem"/>
              <w:ind w:left="0"/>
              <w:rPr>
                <w:b/>
              </w:rPr>
            </w:pPr>
            <w:r>
              <w:rPr>
                <w:b/>
              </w:rPr>
              <w:t>náklad</w:t>
            </w:r>
          </w:p>
        </w:tc>
      </w:tr>
      <w:tr w:rsidR="00536FEA" w:rsidTr="00536FEA">
        <w:tc>
          <w:tcPr>
            <w:tcW w:w="1212" w:type="dxa"/>
            <w:vMerge/>
          </w:tcPr>
          <w:p w:rsidR="00536FEA" w:rsidRDefault="00536FEA" w:rsidP="00536FEA">
            <w:pPr>
              <w:pStyle w:val="Odstavecseseznamem"/>
              <w:ind w:left="0"/>
              <w:rPr>
                <w:b/>
              </w:rPr>
            </w:pPr>
          </w:p>
        </w:tc>
        <w:tc>
          <w:tcPr>
            <w:tcW w:w="1158" w:type="dxa"/>
          </w:tcPr>
          <w:p w:rsidR="00536FEA" w:rsidRDefault="00536FEA" w:rsidP="00536FEA">
            <w:pPr>
              <w:pStyle w:val="Odstavecseseznamem"/>
              <w:ind w:left="0"/>
              <w:rPr>
                <w:b/>
              </w:rPr>
            </w:pPr>
            <w:r>
              <w:rPr>
                <w:b/>
              </w:rPr>
              <w:t>Výdaje příštích období</w:t>
            </w:r>
          </w:p>
        </w:tc>
        <w:tc>
          <w:tcPr>
            <w:tcW w:w="1119" w:type="dxa"/>
          </w:tcPr>
          <w:p w:rsidR="00536FEA" w:rsidRDefault="00536FEA" w:rsidP="00536FEA">
            <w:pPr>
              <w:pStyle w:val="Odstavecseseznamem"/>
              <w:ind w:left="0"/>
              <w:rPr>
                <w:b/>
              </w:rPr>
            </w:pPr>
            <w:r>
              <w:rPr>
                <w:b/>
              </w:rPr>
              <w:t>383</w:t>
            </w:r>
          </w:p>
        </w:tc>
        <w:tc>
          <w:tcPr>
            <w:tcW w:w="1092" w:type="dxa"/>
          </w:tcPr>
          <w:p w:rsidR="00536FEA" w:rsidRDefault="00536FEA" w:rsidP="00536FEA">
            <w:pPr>
              <w:pStyle w:val="Odstavecseseznamem"/>
              <w:ind w:left="0"/>
              <w:rPr>
                <w:b/>
              </w:rPr>
            </w:pPr>
            <w:r>
              <w:rPr>
                <w:b/>
              </w:rPr>
              <w:t>pasivní</w:t>
            </w:r>
          </w:p>
        </w:tc>
        <w:tc>
          <w:tcPr>
            <w:tcW w:w="1203" w:type="dxa"/>
          </w:tcPr>
          <w:p w:rsidR="00536FEA" w:rsidRDefault="00536FEA" w:rsidP="00536FEA">
            <w:pPr>
              <w:pStyle w:val="Odstavecseseznamem"/>
              <w:ind w:left="0"/>
              <w:rPr>
                <w:b/>
              </w:rPr>
            </w:pPr>
            <w:r>
              <w:rPr>
                <w:b/>
              </w:rPr>
              <w:t>náklad</w:t>
            </w:r>
          </w:p>
        </w:tc>
        <w:tc>
          <w:tcPr>
            <w:tcW w:w="1183" w:type="dxa"/>
          </w:tcPr>
          <w:p w:rsidR="00536FEA" w:rsidRDefault="00536FEA" w:rsidP="00536FEA">
            <w:pPr>
              <w:pStyle w:val="Odstavecseseznamem"/>
              <w:ind w:left="0"/>
              <w:rPr>
                <w:b/>
              </w:rPr>
            </w:pPr>
            <w:r>
              <w:rPr>
                <w:b/>
              </w:rPr>
              <w:t>výdaj</w:t>
            </w:r>
          </w:p>
        </w:tc>
      </w:tr>
      <w:tr w:rsidR="00536FEA" w:rsidTr="00536FEA">
        <w:tc>
          <w:tcPr>
            <w:tcW w:w="1212" w:type="dxa"/>
            <w:vMerge/>
          </w:tcPr>
          <w:p w:rsidR="00536FEA" w:rsidRDefault="00536FEA" w:rsidP="00536FEA">
            <w:pPr>
              <w:pStyle w:val="Odstavecseseznamem"/>
              <w:ind w:left="0"/>
              <w:rPr>
                <w:b/>
              </w:rPr>
            </w:pPr>
          </w:p>
        </w:tc>
        <w:tc>
          <w:tcPr>
            <w:tcW w:w="1158" w:type="dxa"/>
          </w:tcPr>
          <w:p w:rsidR="00536FEA" w:rsidRDefault="00536FEA" w:rsidP="00536FEA">
            <w:pPr>
              <w:pStyle w:val="Odstavecseseznamem"/>
              <w:ind w:left="0"/>
              <w:rPr>
                <w:b/>
              </w:rPr>
            </w:pPr>
            <w:r>
              <w:rPr>
                <w:b/>
              </w:rPr>
              <w:t>Dohadné položky pasivní</w:t>
            </w:r>
          </w:p>
        </w:tc>
        <w:tc>
          <w:tcPr>
            <w:tcW w:w="1119" w:type="dxa"/>
          </w:tcPr>
          <w:p w:rsidR="00536FEA" w:rsidRDefault="00536FEA" w:rsidP="00536FEA">
            <w:pPr>
              <w:pStyle w:val="Odstavecseseznamem"/>
              <w:ind w:left="0"/>
              <w:rPr>
                <w:b/>
              </w:rPr>
            </w:pPr>
            <w:r>
              <w:rPr>
                <w:b/>
              </w:rPr>
              <w:t>389</w:t>
            </w:r>
          </w:p>
        </w:tc>
        <w:tc>
          <w:tcPr>
            <w:tcW w:w="1092" w:type="dxa"/>
          </w:tcPr>
          <w:p w:rsidR="00536FEA" w:rsidRDefault="00536FEA" w:rsidP="00536FEA">
            <w:pPr>
              <w:pStyle w:val="Odstavecseseznamem"/>
              <w:ind w:left="0"/>
              <w:rPr>
                <w:b/>
              </w:rPr>
            </w:pPr>
          </w:p>
        </w:tc>
        <w:tc>
          <w:tcPr>
            <w:tcW w:w="1203" w:type="dxa"/>
          </w:tcPr>
          <w:p w:rsidR="00536FEA" w:rsidRDefault="00536FEA" w:rsidP="00536FEA">
            <w:pPr>
              <w:pStyle w:val="Odstavecseseznamem"/>
              <w:ind w:left="0"/>
              <w:rPr>
                <w:b/>
              </w:rPr>
            </w:pPr>
            <w:r>
              <w:rPr>
                <w:b/>
              </w:rPr>
              <w:t>odhad nákladu</w:t>
            </w:r>
          </w:p>
        </w:tc>
        <w:tc>
          <w:tcPr>
            <w:tcW w:w="1183" w:type="dxa"/>
          </w:tcPr>
          <w:p w:rsidR="00536FEA" w:rsidRDefault="00536FEA" w:rsidP="00536FEA">
            <w:pPr>
              <w:pStyle w:val="Odstavecseseznamem"/>
              <w:ind w:left="0"/>
              <w:rPr>
                <w:b/>
              </w:rPr>
            </w:pPr>
            <w:r>
              <w:rPr>
                <w:b/>
              </w:rPr>
              <w:t>výdaj</w:t>
            </w:r>
          </w:p>
        </w:tc>
      </w:tr>
      <w:tr w:rsidR="00536FEA" w:rsidTr="00536FEA">
        <w:tc>
          <w:tcPr>
            <w:tcW w:w="1212" w:type="dxa"/>
            <w:vMerge w:val="restart"/>
          </w:tcPr>
          <w:p w:rsidR="00536FEA" w:rsidRDefault="00536FEA" w:rsidP="00536FEA">
            <w:pPr>
              <w:pStyle w:val="Odstavecseseznamem"/>
              <w:ind w:left="0"/>
              <w:rPr>
                <w:b/>
              </w:rPr>
            </w:pPr>
            <w:r>
              <w:rPr>
                <w:b/>
              </w:rPr>
              <w:t>Výnosů</w:t>
            </w:r>
          </w:p>
        </w:tc>
        <w:tc>
          <w:tcPr>
            <w:tcW w:w="1158" w:type="dxa"/>
          </w:tcPr>
          <w:p w:rsidR="00536FEA" w:rsidRDefault="00536FEA" w:rsidP="00536FEA">
            <w:pPr>
              <w:pStyle w:val="Odstavecseseznamem"/>
              <w:ind w:left="0"/>
              <w:rPr>
                <w:b/>
              </w:rPr>
            </w:pPr>
            <w:r>
              <w:rPr>
                <w:b/>
              </w:rPr>
              <w:t>Výnosy příštích období</w:t>
            </w:r>
          </w:p>
        </w:tc>
        <w:tc>
          <w:tcPr>
            <w:tcW w:w="1119" w:type="dxa"/>
          </w:tcPr>
          <w:p w:rsidR="00536FEA" w:rsidRDefault="00536FEA" w:rsidP="00536FEA">
            <w:pPr>
              <w:pStyle w:val="Odstavecseseznamem"/>
              <w:ind w:left="0"/>
              <w:rPr>
                <w:b/>
              </w:rPr>
            </w:pPr>
            <w:r>
              <w:rPr>
                <w:b/>
              </w:rPr>
              <w:t>384</w:t>
            </w:r>
          </w:p>
        </w:tc>
        <w:tc>
          <w:tcPr>
            <w:tcW w:w="1092" w:type="dxa"/>
          </w:tcPr>
          <w:p w:rsidR="00536FEA" w:rsidRDefault="00536FEA" w:rsidP="00536FEA">
            <w:pPr>
              <w:pStyle w:val="Odstavecseseznamem"/>
              <w:ind w:left="0"/>
              <w:rPr>
                <w:b/>
              </w:rPr>
            </w:pPr>
            <w:r>
              <w:rPr>
                <w:b/>
              </w:rPr>
              <w:t>pasivní</w:t>
            </w:r>
          </w:p>
        </w:tc>
        <w:tc>
          <w:tcPr>
            <w:tcW w:w="1203" w:type="dxa"/>
          </w:tcPr>
          <w:p w:rsidR="00536FEA" w:rsidRDefault="00536FEA" w:rsidP="00536FEA">
            <w:pPr>
              <w:pStyle w:val="Odstavecseseznamem"/>
              <w:ind w:left="0"/>
              <w:rPr>
                <w:b/>
              </w:rPr>
            </w:pPr>
            <w:r>
              <w:rPr>
                <w:b/>
              </w:rPr>
              <w:t>příjem</w:t>
            </w:r>
          </w:p>
        </w:tc>
        <w:tc>
          <w:tcPr>
            <w:tcW w:w="1183" w:type="dxa"/>
          </w:tcPr>
          <w:p w:rsidR="00536FEA" w:rsidRDefault="00536FEA" w:rsidP="00536FEA">
            <w:pPr>
              <w:pStyle w:val="Odstavecseseznamem"/>
              <w:ind w:left="0"/>
              <w:rPr>
                <w:b/>
              </w:rPr>
            </w:pPr>
            <w:r>
              <w:rPr>
                <w:b/>
              </w:rPr>
              <w:t>výnos</w:t>
            </w:r>
          </w:p>
        </w:tc>
      </w:tr>
      <w:tr w:rsidR="00536FEA" w:rsidTr="00536FEA">
        <w:tc>
          <w:tcPr>
            <w:tcW w:w="1212" w:type="dxa"/>
            <w:vMerge/>
          </w:tcPr>
          <w:p w:rsidR="00536FEA" w:rsidRDefault="00536FEA" w:rsidP="00536FEA">
            <w:pPr>
              <w:pStyle w:val="Odstavecseseznamem"/>
              <w:ind w:left="0"/>
              <w:rPr>
                <w:b/>
              </w:rPr>
            </w:pPr>
          </w:p>
        </w:tc>
        <w:tc>
          <w:tcPr>
            <w:tcW w:w="1158" w:type="dxa"/>
          </w:tcPr>
          <w:p w:rsidR="00536FEA" w:rsidRDefault="00536FEA" w:rsidP="00536FEA">
            <w:pPr>
              <w:pStyle w:val="Odstavecseseznamem"/>
              <w:ind w:left="0"/>
              <w:rPr>
                <w:b/>
              </w:rPr>
            </w:pPr>
            <w:r>
              <w:rPr>
                <w:b/>
              </w:rPr>
              <w:t>Příjmy příštích období</w:t>
            </w:r>
          </w:p>
        </w:tc>
        <w:tc>
          <w:tcPr>
            <w:tcW w:w="1119" w:type="dxa"/>
          </w:tcPr>
          <w:p w:rsidR="00536FEA" w:rsidRDefault="00536FEA" w:rsidP="00536FEA">
            <w:pPr>
              <w:pStyle w:val="Odstavecseseznamem"/>
              <w:ind w:left="0"/>
              <w:rPr>
                <w:b/>
              </w:rPr>
            </w:pPr>
            <w:r>
              <w:rPr>
                <w:b/>
              </w:rPr>
              <w:t>385</w:t>
            </w:r>
          </w:p>
        </w:tc>
        <w:tc>
          <w:tcPr>
            <w:tcW w:w="1092" w:type="dxa"/>
          </w:tcPr>
          <w:p w:rsidR="00536FEA" w:rsidRDefault="00536FEA" w:rsidP="00536FEA">
            <w:pPr>
              <w:pStyle w:val="Odstavecseseznamem"/>
              <w:ind w:left="0"/>
              <w:rPr>
                <w:b/>
              </w:rPr>
            </w:pPr>
            <w:r>
              <w:rPr>
                <w:b/>
              </w:rPr>
              <w:t>aktivní</w:t>
            </w:r>
          </w:p>
        </w:tc>
        <w:tc>
          <w:tcPr>
            <w:tcW w:w="1203" w:type="dxa"/>
          </w:tcPr>
          <w:p w:rsidR="00536FEA" w:rsidRDefault="00536FEA" w:rsidP="00536FEA">
            <w:pPr>
              <w:pStyle w:val="Odstavecseseznamem"/>
              <w:ind w:left="0"/>
              <w:rPr>
                <w:b/>
              </w:rPr>
            </w:pPr>
            <w:r>
              <w:rPr>
                <w:b/>
              </w:rPr>
              <w:t>výnos</w:t>
            </w:r>
          </w:p>
        </w:tc>
        <w:tc>
          <w:tcPr>
            <w:tcW w:w="1183" w:type="dxa"/>
          </w:tcPr>
          <w:p w:rsidR="00536FEA" w:rsidRDefault="00536FEA" w:rsidP="00536FEA">
            <w:pPr>
              <w:pStyle w:val="Odstavecseseznamem"/>
              <w:ind w:left="0"/>
              <w:rPr>
                <w:b/>
              </w:rPr>
            </w:pPr>
            <w:r>
              <w:rPr>
                <w:b/>
              </w:rPr>
              <w:t>příjem</w:t>
            </w:r>
          </w:p>
        </w:tc>
      </w:tr>
      <w:tr w:rsidR="00536FEA" w:rsidTr="00536FEA">
        <w:tc>
          <w:tcPr>
            <w:tcW w:w="1212" w:type="dxa"/>
            <w:vMerge/>
          </w:tcPr>
          <w:p w:rsidR="00536FEA" w:rsidRDefault="00536FEA" w:rsidP="00536FEA">
            <w:pPr>
              <w:pStyle w:val="Odstavecseseznamem"/>
              <w:ind w:left="0"/>
              <w:rPr>
                <w:b/>
              </w:rPr>
            </w:pPr>
          </w:p>
        </w:tc>
        <w:tc>
          <w:tcPr>
            <w:tcW w:w="1158" w:type="dxa"/>
          </w:tcPr>
          <w:p w:rsidR="00536FEA" w:rsidRDefault="00536FEA" w:rsidP="00536FEA">
            <w:pPr>
              <w:pStyle w:val="Odstavecseseznamem"/>
              <w:ind w:left="0"/>
              <w:rPr>
                <w:b/>
              </w:rPr>
            </w:pPr>
            <w:r>
              <w:rPr>
                <w:b/>
              </w:rPr>
              <w:t xml:space="preserve">Dohadné </w:t>
            </w:r>
            <w:proofErr w:type="gramStart"/>
            <w:r>
              <w:rPr>
                <w:b/>
              </w:rPr>
              <w:t>položky  aktivní</w:t>
            </w:r>
            <w:proofErr w:type="gramEnd"/>
          </w:p>
        </w:tc>
        <w:tc>
          <w:tcPr>
            <w:tcW w:w="1119" w:type="dxa"/>
          </w:tcPr>
          <w:p w:rsidR="00536FEA" w:rsidRDefault="00536FEA" w:rsidP="00536FEA">
            <w:pPr>
              <w:pStyle w:val="Odstavecseseznamem"/>
              <w:ind w:left="0"/>
              <w:rPr>
                <w:b/>
              </w:rPr>
            </w:pPr>
            <w:r>
              <w:rPr>
                <w:b/>
              </w:rPr>
              <w:t>388</w:t>
            </w:r>
          </w:p>
        </w:tc>
        <w:tc>
          <w:tcPr>
            <w:tcW w:w="1092" w:type="dxa"/>
          </w:tcPr>
          <w:p w:rsidR="00536FEA" w:rsidRDefault="00536FEA" w:rsidP="00536FEA">
            <w:pPr>
              <w:pStyle w:val="Odstavecseseznamem"/>
              <w:ind w:left="0"/>
              <w:rPr>
                <w:b/>
              </w:rPr>
            </w:pPr>
          </w:p>
        </w:tc>
        <w:tc>
          <w:tcPr>
            <w:tcW w:w="1203" w:type="dxa"/>
          </w:tcPr>
          <w:p w:rsidR="00536FEA" w:rsidRDefault="00536FEA" w:rsidP="00536FEA">
            <w:pPr>
              <w:pStyle w:val="Odstavecseseznamem"/>
              <w:ind w:left="0"/>
              <w:rPr>
                <w:b/>
              </w:rPr>
            </w:pPr>
            <w:r>
              <w:rPr>
                <w:b/>
              </w:rPr>
              <w:t>odhad výnosu</w:t>
            </w:r>
          </w:p>
        </w:tc>
        <w:tc>
          <w:tcPr>
            <w:tcW w:w="1183" w:type="dxa"/>
          </w:tcPr>
          <w:p w:rsidR="00536FEA" w:rsidRDefault="00536FEA" w:rsidP="00536FEA">
            <w:pPr>
              <w:pStyle w:val="Odstavecseseznamem"/>
              <w:ind w:left="0"/>
              <w:rPr>
                <w:b/>
              </w:rPr>
            </w:pPr>
            <w:r>
              <w:rPr>
                <w:b/>
              </w:rPr>
              <w:t>příjem</w:t>
            </w:r>
          </w:p>
        </w:tc>
      </w:tr>
    </w:tbl>
    <w:p w:rsidR="00536FEA" w:rsidRPr="009B25AA" w:rsidRDefault="00536FEA" w:rsidP="00536FEA">
      <w:pPr>
        <w:pStyle w:val="Odstavecseseznamem"/>
        <w:ind w:left="1080"/>
        <w:rPr>
          <w:b/>
        </w:rPr>
      </w:pPr>
    </w:p>
    <w:p w:rsidR="007649DC" w:rsidRDefault="007649DC" w:rsidP="00D2556C">
      <w:pPr>
        <w:pStyle w:val="Odstavecseseznamem"/>
        <w:ind w:left="1080"/>
      </w:pPr>
    </w:p>
    <w:p w:rsidR="00044519" w:rsidRPr="00536FEA" w:rsidRDefault="00536FEA" w:rsidP="007649DC">
      <w:pPr>
        <w:pStyle w:val="Odstavecseseznamem"/>
      </w:pPr>
      <w:r w:rsidRPr="00536FEA">
        <w:t xml:space="preserve">K účtování časového rozlišení se používají přechodné účty aktiv a pasiv. Jsou to účty rozvahové aktivní nebo pasivní. Přechodné účty se člení </w:t>
      </w:r>
      <w:proofErr w:type="gramStart"/>
      <w:r w:rsidRPr="00536FEA">
        <w:t>na :</w:t>
      </w:r>
      <w:proofErr w:type="gramEnd"/>
    </w:p>
    <w:p w:rsidR="007649DC" w:rsidRPr="007649DC" w:rsidRDefault="00536FEA" w:rsidP="007649DC">
      <w:pPr>
        <w:pStyle w:val="Odstavecseseznamem"/>
        <w:numPr>
          <w:ilvl w:val="0"/>
          <w:numId w:val="21"/>
        </w:numPr>
        <w:rPr>
          <w:u w:val="single"/>
        </w:rPr>
      </w:pPr>
      <w:r w:rsidRPr="007649DC">
        <w:rPr>
          <w:b/>
        </w:rPr>
        <w:t xml:space="preserve">Účty časového rozlišení – známe účel, období i přesnou částku </w:t>
      </w:r>
    </w:p>
    <w:p w:rsidR="00536FEA" w:rsidRPr="007649DC" w:rsidRDefault="007649DC" w:rsidP="007649DC">
      <w:pPr>
        <w:rPr>
          <w:u w:val="single"/>
        </w:rPr>
      </w:pPr>
      <w:r w:rsidRPr="007649DC">
        <w:t xml:space="preserve">             </w:t>
      </w:r>
      <w:r w:rsidRPr="007649DC">
        <w:rPr>
          <w:u w:val="single"/>
        </w:rPr>
        <w:t>a) Ú</w:t>
      </w:r>
      <w:r w:rsidR="00536FEA" w:rsidRPr="007649DC">
        <w:rPr>
          <w:u w:val="single"/>
        </w:rPr>
        <w:t>čet 381 – náklady příštích období</w:t>
      </w:r>
    </w:p>
    <w:p w:rsidR="00896081" w:rsidRDefault="00896081" w:rsidP="007649DC">
      <w:pPr>
        <w:pStyle w:val="Bezmezer"/>
        <w:ind w:left="708"/>
      </w:pPr>
      <w:r>
        <w:t>Aktivní – strana MD při vzniku, D při rozpouštění</w:t>
      </w:r>
    </w:p>
    <w:p w:rsidR="00536FEA" w:rsidRDefault="00536FEA" w:rsidP="007649DC">
      <w:pPr>
        <w:pStyle w:val="Bezmezer"/>
        <w:ind w:left="708"/>
      </w:pPr>
      <w:r>
        <w:t>Jedná se o výdaje běžného období, které souvisí zcela nebo alespoň zčásti příštího období, např. nájemné uhrazené dopředu, pojistné, předplatné, paušály servisních služeb, nájmy SW</w:t>
      </w:r>
    </w:p>
    <w:p w:rsidR="00536FEA" w:rsidRDefault="00536FEA" w:rsidP="007649DC">
      <w:pPr>
        <w:pStyle w:val="Odstavecseseznamem"/>
        <w:ind w:left="2868"/>
      </w:pPr>
    </w:p>
    <w:p w:rsidR="00536FEA" w:rsidRPr="007649DC" w:rsidRDefault="007649DC" w:rsidP="007649DC">
      <w:pPr>
        <w:ind w:left="708"/>
        <w:rPr>
          <w:u w:val="single"/>
        </w:rPr>
      </w:pPr>
      <w:r>
        <w:rPr>
          <w:u w:val="single"/>
        </w:rPr>
        <w:t xml:space="preserve">b) </w:t>
      </w:r>
      <w:r w:rsidR="00536FEA" w:rsidRPr="007649DC">
        <w:rPr>
          <w:u w:val="single"/>
        </w:rPr>
        <w:t>Účet 383 – výdaje příštích období</w:t>
      </w:r>
      <w:r w:rsidR="00896081" w:rsidRPr="007649DC">
        <w:rPr>
          <w:u w:val="single"/>
        </w:rPr>
        <w:t xml:space="preserve">     </w:t>
      </w:r>
    </w:p>
    <w:p w:rsidR="00896081" w:rsidRDefault="00896081" w:rsidP="007649DC">
      <w:pPr>
        <w:pStyle w:val="Bezmezer"/>
        <w:ind w:left="708"/>
      </w:pPr>
      <w:r>
        <w:t>Pasivní – strana D při vzniku, MD při rozpouštění</w:t>
      </w:r>
    </w:p>
    <w:p w:rsidR="00896081" w:rsidRDefault="00896081" w:rsidP="007649DC">
      <w:pPr>
        <w:pStyle w:val="Bezmezer"/>
        <w:ind w:left="708"/>
      </w:pPr>
      <w:r>
        <w:t>Výdaje příštích období představují náklady věcně a časově související s běžným obdobím, ale výdaj peněz se uskuteční až v budoucnu. Lze účtovat pouze částky, u nichž víme, že budou v příštím období zaplaceny na příslušný účet a v určité výši, např. nájemné hrazené pozadu, dodavatelem nevyfakturované dodávky (např. došlé faktury po uzávěrce), úroky z úvěru, které banka naúčtuje po uplynutí kalendářního roku</w:t>
      </w:r>
    </w:p>
    <w:p w:rsidR="007649DC" w:rsidRDefault="007649DC" w:rsidP="007649DC">
      <w:pPr>
        <w:pStyle w:val="Bezmezer"/>
        <w:ind w:left="708"/>
      </w:pPr>
    </w:p>
    <w:p w:rsidR="00896081" w:rsidRPr="007649DC" w:rsidRDefault="007649DC" w:rsidP="007649DC">
      <w:pPr>
        <w:ind w:left="708"/>
        <w:rPr>
          <w:u w:val="single"/>
        </w:rPr>
      </w:pPr>
      <w:r>
        <w:rPr>
          <w:u w:val="single"/>
        </w:rPr>
        <w:t xml:space="preserve">c) </w:t>
      </w:r>
      <w:r w:rsidR="00896081" w:rsidRPr="007649DC">
        <w:rPr>
          <w:u w:val="single"/>
        </w:rPr>
        <w:t>Účet 384 - Výnosy příštích období</w:t>
      </w:r>
    </w:p>
    <w:p w:rsidR="00896081" w:rsidRDefault="00896081" w:rsidP="007649DC">
      <w:pPr>
        <w:pStyle w:val="Bezmezer"/>
        <w:ind w:left="708"/>
      </w:pPr>
      <w:r>
        <w:t>Pasivní – strana D při vzniku, MD při rozpouštění</w:t>
      </w:r>
    </w:p>
    <w:p w:rsidR="00896081" w:rsidRDefault="00896081" w:rsidP="007649DC">
      <w:pPr>
        <w:pStyle w:val="Bezmezer"/>
        <w:ind w:left="708"/>
      </w:pPr>
      <w:r>
        <w:t>Výnosy příštích období jsou částky přijaté v běžném období, které věcně patří do výnosů příštích období (za výkony poskytnuté v budoucnosti), např. nájemné přijaté předem, úhrady na plnění příštího roku před splatností dle smluv, paušální platby</w:t>
      </w:r>
    </w:p>
    <w:p w:rsidR="00AB640B" w:rsidRDefault="00AB640B" w:rsidP="007649DC">
      <w:pPr>
        <w:pStyle w:val="Bezmezer"/>
        <w:ind w:left="708"/>
      </w:pPr>
    </w:p>
    <w:p w:rsidR="007649DC" w:rsidRDefault="007649DC" w:rsidP="007649DC">
      <w:pPr>
        <w:pStyle w:val="Bezmezer"/>
        <w:ind w:left="708"/>
      </w:pPr>
    </w:p>
    <w:p w:rsidR="00896081" w:rsidRPr="007649DC" w:rsidRDefault="007649DC" w:rsidP="007649DC">
      <w:pPr>
        <w:ind w:left="708"/>
        <w:rPr>
          <w:u w:val="single"/>
        </w:rPr>
      </w:pPr>
      <w:r>
        <w:rPr>
          <w:u w:val="single"/>
        </w:rPr>
        <w:lastRenderedPageBreak/>
        <w:t xml:space="preserve">d) </w:t>
      </w:r>
      <w:r w:rsidR="00896081" w:rsidRPr="007649DC">
        <w:rPr>
          <w:u w:val="single"/>
        </w:rPr>
        <w:t>Účet 385 – příjmy příštích období</w:t>
      </w:r>
    </w:p>
    <w:p w:rsidR="00896081" w:rsidRDefault="00896081" w:rsidP="007649DC">
      <w:pPr>
        <w:pStyle w:val="Bezmezer"/>
        <w:ind w:left="708"/>
      </w:pPr>
      <w:r>
        <w:t>Aktivní – strana MD při vzniku, D při rozpouštění</w:t>
      </w:r>
    </w:p>
    <w:p w:rsidR="00896081" w:rsidRDefault="00896081" w:rsidP="007649DC">
      <w:pPr>
        <w:pStyle w:val="Bezmezer"/>
        <w:ind w:left="708"/>
      </w:pPr>
      <w:r>
        <w:t>Příjmy příštích období představují výnosy časově související s běžným obdobím, ale příjem peněz se uskuteční až v budoucnu, např. nájemné vybrané zpětně, nepřipsaný úrok, dosud nevyfakturované výkony (známe přesnou částku).</w:t>
      </w:r>
    </w:p>
    <w:p w:rsidR="007649DC" w:rsidRDefault="007649DC" w:rsidP="007649DC">
      <w:pPr>
        <w:pStyle w:val="Bezmezer"/>
        <w:ind w:left="708"/>
      </w:pPr>
    </w:p>
    <w:p w:rsidR="00896081" w:rsidRPr="007649DC" w:rsidRDefault="00896081" w:rsidP="007649DC">
      <w:pPr>
        <w:pStyle w:val="Odstavecseseznamem"/>
        <w:numPr>
          <w:ilvl w:val="0"/>
          <w:numId w:val="21"/>
        </w:numPr>
        <w:rPr>
          <w:b/>
        </w:rPr>
      </w:pPr>
      <w:r w:rsidRPr="007649DC">
        <w:rPr>
          <w:b/>
        </w:rPr>
        <w:t xml:space="preserve">Dohadné účty – známe účel, období, ale neznáme přesnou částku </w:t>
      </w:r>
    </w:p>
    <w:p w:rsidR="00896081" w:rsidRDefault="00896081" w:rsidP="007649DC">
      <w:pPr>
        <w:pStyle w:val="Bezmezer"/>
        <w:ind w:left="708"/>
      </w:pPr>
      <w:r>
        <w:t xml:space="preserve">Dohadné položky jsou případy pohledávek (a s nimi spojených výnosů) a </w:t>
      </w:r>
      <w:bookmarkStart w:id="0" w:name="_GoBack"/>
      <w:bookmarkEnd w:id="0"/>
      <w:r w:rsidR="00E05826">
        <w:t>závazků (a s nimi</w:t>
      </w:r>
      <w:r>
        <w:t xml:space="preserve"> spojených nákladů), které časově patří do běžného účetního období, ale nemohou být zaúčtovány, protože chybí účetní doklad. Není tedy známá přesná výše částky, která bude uhrazena či přijata. Částka je tedy odhadována, přičemž se vychází ze známých dohod, smluv či objednávek. </w:t>
      </w:r>
    </w:p>
    <w:p w:rsidR="00896081" w:rsidRDefault="00896081" w:rsidP="007649DC">
      <w:pPr>
        <w:pStyle w:val="Bezmezer"/>
        <w:ind w:left="708"/>
      </w:pPr>
      <w:r>
        <w:t>Dohadné účty dělíme na dohadné účty aktivní – vstupují sem pohledávky za poskytnuté výkony a na dohadné účty pasivní – vstupují sem závazky za přijaté výkony.</w:t>
      </w:r>
    </w:p>
    <w:p w:rsidR="00CC4F10" w:rsidRDefault="00CC4F10" w:rsidP="007649DC">
      <w:pPr>
        <w:pStyle w:val="Bezmezer"/>
        <w:ind w:left="708"/>
      </w:pPr>
    </w:p>
    <w:p w:rsidR="00896081" w:rsidRPr="00CC4F10" w:rsidRDefault="007649DC" w:rsidP="007649DC">
      <w:pPr>
        <w:pStyle w:val="Bezmezer"/>
        <w:ind w:left="708"/>
        <w:rPr>
          <w:u w:val="single"/>
        </w:rPr>
      </w:pPr>
      <w:proofErr w:type="gramStart"/>
      <w:r>
        <w:rPr>
          <w:u w:val="single"/>
        </w:rPr>
        <w:t xml:space="preserve">a) </w:t>
      </w:r>
      <w:r w:rsidR="00896081" w:rsidRPr="00CC4F10">
        <w:rPr>
          <w:u w:val="single"/>
        </w:rPr>
        <w:t xml:space="preserve"> Účet</w:t>
      </w:r>
      <w:proofErr w:type="gramEnd"/>
      <w:r w:rsidR="00896081" w:rsidRPr="00CC4F10">
        <w:rPr>
          <w:u w:val="single"/>
        </w:rPr>
        <w:t xml:space="preserve"> 388 – dohadný účet aktivní</w:t>
      </w:r>
    </w:p>
    <w:p w:rsidR="00896081" w:rsidRDefault="00896081" w:rsidP="007649DC">
      <w:pPr>
        <w:pStyle w:val="Bezmezer"/>
        <w:ind w:left="708"/>
      </w:pPr>
      <w:r>
        <w:t>Strana MD při vzniku, strana D při rozpouštění.</w:t>
      </w:r>
    </w:p>
    <w:p w:rsidR="00896081" w:rsidRDefault="00896081" w:rsidP="007649DC">
      <w:pPr>
        <w:pStyle w:val="Bezmezer"/>
        <w:ind w:left="708"/>
      </w:pPr>
      <w:r>
        <w:t xml:space="preserve">Příklady – nevyfakturované dodávky, u kterých je nutné upřesnit částku, potvrzená pohledávka za pojišťovnou </w:t>
      </w:r>
      <w:r w:rsidR="00CC4F10">
        <w:t>v důsledku škody – neznáme ještě výši plnění.</w:t>
      </w:r>
    </w:p>
    <w:p w:rsidR="00CC4F10" w:rsidRDefault="00CC4F10" w:rsidP="007649DC">
      <w:pPr>
        <w:pStyle w:val="Bezmezer"/>
        <w:ind w:left="708"/>
      </w:pPr>
    </w:p>
    <w:p w:rsidR="00CC4F10" w:rsidRPr="00CC4F10" w:rsidRDefault="007649DC" w:rsidP="007649DC">
      <w:pPr>
        <w:pStyle w:val="Bezmezer"/>
        <w:ind w:left="708"/>
        <w:rPr>
          <w:u w:val="single"/>
        </w:rPr>
      </w:pPr>
      <w:proofErr w:type="gramStart"/>
      <w:r>
        <w:rPr>
          <w:u w:val="single"/>
        </w:rPr>
        <w:t xml:space="preserve">b) </w:t>
      </w:r>
      <w:r w:rsidR="00CC4F10" w:rsidRPr="00CC4F10">
        <w:rPr>
          <w:u w:val="single"/>
        </w:rPr>
        <w:t xml:space="preserve"> Účet</w:t>
      </w:r>
      <w:proofErr w:type="gramEnd"/>
      <w:r w:rsidR="00CC4F10" w:rsidRPr="00CC4F10">
        <w:rPr>
          <w:u w:val="single"/>
        </w:rPr>
        <w:t xml:space="preserve"> 389 – dohadný účet pasivní</w:t>
      </w:r>
    </w:p>
    <w:p w:rsidR="00CC4F10" w:rsidRDefault="00CC4F10" w:rsidP="007649DC">
      <w:pPr>
        <w:pStyle w:val="Bezmezer"/>
        <w:ind w:left="708"/>
      </w:pPr>
      <w:r>
        <w:t>Strana D při vzniku, MD při rozpouštění.</w:t>
      </w:r>
    </w:p>
    <w:p w:rsidR="00CC4F10" w:rsidRDefault="00CC4F10" w:rsidP="00896081">
      <w:pPr>
        <w:pStyle w:val="Odstavecseseznamem"/>
        <w:ind w:left="1440"/>
      </w:pPr>
      <w:r>
        <w:t xml:space="preserve">Příklady – nevyfakturované dodávky, na které není zatím účetní doklad, nevyúčtované spotřeby energií, vodného a stočného, nevyúčtované úroky z bankovních účtů, úvěrů, půjček. </w:t>
      </w:r>
    </w:p>
    <w:p w:rsidR="00CC4F10" w:rsidRDefault="00CC4F10" w:rsidP="00CC4F10">
      <w:r>
        <w:t xml:space="preserve">Z charakteristiky uvedených účtů vyplývá, že se tyto účetní případy provádějí až ke dni účetní závěrky. </w:t>
      </w:r>
    </w:p>
    <w:p w:rsidR="007649DC" w:rsidRDefault="007649DC" w:rsidP="00CC4F10"/>
    <w:p w:rsidR="00AA031E" w:rsidRDefault="00AA031E" w:rsidP="00AA031E">
      <w:pPr>
        <w:jc w:val="center"/>
        <w:rPr>
          <w:b/>
          <w:sz w:val="24"/>
          <w:szCs w:val="24"/>
        </w:rPr>
      </w:pPr>
    </w:p>
    <w:p w:rsidR="00CC4F10" w:rsidRPr="00CC4F10" w:rsidRDefault="00AA031E" w:rsidP="00AA031E">
      <w:pPr>
        <w:jc w:val="center"/>
      </w:pPr>
      <w:r w:rsidRPr="00AA031E">
        <w:rPr>
          <w:b/>
          <w:sz w:val="24"/>
          <w:szCs w:val="24"/>
        </w:rPr>
        <w:t>IV.</w:t>
      </w:r>
      <w:r w:rsidR="00293B1E" w:rsidRPr="00AA031E">
        <w:rPr>
          <w:b/>
          <w:sz w:val="24"/>
          <w:szCs w:val="24"/>
        </w:rPr>
        <w:t xml:space="preserve">  </w:t>
      </w:r>
      <w:r w:rsidR="00CC4F10" w:rsidRPr="00AA031E">
        <w:rPr>
          <w:b/>
          <w:sz w:val="24"/>
          <w:szCs w:val="24"/>
        </w:rPr>
        <w:t>Závěrečná ustanovení</w:t>
      </w:r>
    </w:p>
    <w:p w:rsidR="00CC4F10" w:rsidRPr="00CC4F10" w:rsidRDefault="00CC4F10" w:rsidP="007649DC">
      <w:pPr>
        <w:pStyle w:val="Bezmezer"/>
      </w:pPr>
      <w:r w:rsidRPr="00CC4F10">
        <w:t>Ustanoveními této směrnice jsou povinni se řídit všichni zaměstnanci obce.</w:t>
      </w:r>
    </w:p>
    <w:p w:rsidR="00CC4F10" w:rsidRDefault="00CC4F10" w:rsidP="007649DC">
      <w:pPr>
        <w:pStyle w:val="Bezmezer"/>
      </w:pPr>
    </w:p>
    <w:p w:rsidR="000E7B3A" w:rsidRDefault="00293B1E" w:rsidP="007649DC">
      <w:pPr>
        <w:pStyle w:val="Bezmezer"/>
      </w:pPr>
      <w:r>
        <w:t>Tato směrnice č. 1</w:t>
      </w:r>
      <w:r w:rsidR="00CC4F10" w:rsidRPr="00CC4F10">
        <w:t>/201</w:t>
      </w:r>
      <w:r>
        <w:t>7</w:t>
      </w:r>
      <w:r w:rsidR="00CC4F10" w:rsidRPr="00CC4F10">
        <w:t xml:space="preserve"> byla projednána a následně schválena na zasedání zastupitelstva obce </w:t>
      </w:r>
      <w:r>
        <w:t xml:space="preserve">Nový </w:t>
      </w:r>
      <w:proofErr w:type="spellStart"/>
      <w:r>
        <w:t>Kramolín</w:t>
      </w:r>
      <w:proofErr w:type="spellEnd"/>
      <w:r>
        <w:t xml:space="preserve"> dne </w:t>
      </w:r>
      <w:proofErr w:type="gramStart"/>
      <w:r w:rsidR="000E7B3A">
        <w:t>10.3.2017</w:t>
      </w:r>
      <w:proofErr w:type="gramEnd"/>
    </w:p>
    <w:p w:rsidR="00CC4F10" w:rsidRPr="00CC4F10" w:rsidRDefault="00293B1E" w:rsidP="007649DC">
      <w:pPr>
        <w:pStyle w:val="Bezmezer"/>
      </w:pPr>
      <w:r>
        <w:t>Směrnice nabývá účinnost dnem schválením.</w:t>
      </w:r>
      <w:r w:rsidR="00CC4F10" w:rsidRPr="00CC4F10">
        <w:t xml:space="preserve"> </w:t>
      </w:r>
    </w:p>
    <w:p w:rsidR="00AB640B" w:rsidRPr="00CC4F10" w:rsidRDefault="00AB640B" w:rsidP="00AB640B">
      <w:pPr>
        <w:pStyle w:val="Bezmezer"/>
      </w:pPr>
      <w:r>
        <w:t xml:space="preserve">Ruší se vnitřní směrnice č.2/2010 ze </w:t>
      </w:r>
      <w:proofErr w:type="gramStart"/>
      <w:r>
        <w:t>28.12.2009</w:t>
      </w:r>
      <w:proofErr w:type="gramEnd"/>
      <w:r>
        <w:t>.</w:t>
      </w:r>
    </w:p>
    <w:p w:rsidR="00CC4F10" w:rsidRDefault="00CC4F10" w:rsidP="007649DC">
      <w:pPr>
        <w:pStyle w:val="Bezmezer"/>
      </w:pPr>
    </w:p>
    <w:p w:rsidR="00AA031E" w:rsidRDefault="00AA031E" w:rsidP="007649DC">
      <w:pPr>
        <w:pStyle w:val="Bezmezer"/>
      </w:pPr>
      <w:r>
        <w:t>Vyhotovila Chmelíková</w:t>
      </w:r>
    </w:p>
    <w:p w:rsidR="00AB640B" w:rsidRDefault="00AB640B" w:rsidP="007649DC">
      <w:pPr>
        <w:pStyle w:val="Bezmezer"/>
      </w:pPr>
    </w:p>
    <w:p w:rsidR="00AA031E" w:rsidRDefault="00AA031E" w:rsidP="007649DC">
      <w:pPr>
        <w:pStyle w:val="Bezmezer"/>
      </w:pPr>
    </w:p>
    <w:p w:rsidR="00CC4F10" w:rsidRDefault="007649DC" w:rsidP="007649DC">
      <w:pPr>
        <w:pStyle w:val="Odstavecseseznamem"/>
        <w:ind w:left="0"/>
        <w:rPr>
          <w:b/>
        </w:rPr>
      </w:pPr>
      <w:r>
        <w:rPr>
          <w:b/>
        </w:rPr>
        <w:t>………………………………                                                     ………………………………………..</w:t>
      </w:r>
    </w:p>
    <w:p w:rsidR="00CC4F10" w:rsidRPr="00CC4F10" w:rsidRDefault="00293B1E" w:rsidP="007649DC">
      <w:pPr>
        <w:pStyle w:val="Odstavecseseznamem"/>
        <w:ind w:left="0"/>
      </w:pPr>
      <w:r>
        <w:t xml:space="preserve">Pavel </w:t>
      </w:r>
      <w:proofErr w:type="gramStart"/>
      <w:r>
        <w:t>Sokol                                                                                      Jan</w:t>
      </w:r>
      <w:proofErr w:type="gramEnd"/>
      <w:r>
        <w:t xml:space="preserve"> Buršík</w:t>
      </w:r>
    </w:p>
    <w:p w:rsidR="00CC4F10" w:rsidRPr="00CC4F10" w:rsidRDefault="00CC4F10" w:rsidP="007649DC">
      <w:pPr>
        <w:pStyle w:val="Odstavecseseznamem"/>
        <w:ind w:left="0"/>
      </w:pPr>
      <w:r w:rsidRPr="00CC4F10">
        <w:t xml:space="preserve">Místostarostka </w:t>
      </w:r>
      <w:proofErr w:type="gramStart"/>
      <w:r w:rsidRPr="00CC4F10">
        <w:t>obce                                                                         Starosta</w:t>
      </w:r>
      <w:proofErr w:type="gramEnd"/>
      <w:r w:rsidRPr="00CC4F10">
        <w:t xml:space="preserve"> obce                                    </w:t>
      </w:r>
    </w:p>
    <w:p w:rsidR="00CC4F10" w:rsidRPr="00CC4F10" w:rsidRDefault="00CC4F10" w:rsidP="007649DC"/>
    <w:sectPr w:rsidR="00CC4F10" w:rsidRPr="00CC4F10" w:rsidSect="006C75B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27" w:rsidRDefault="00F36C27" w:rsidP="00AB640B">
      <w:pPr>
        <w:spacing w:after="0" w:line="240" w:lineRule="auto"/>
      </w:pPr>
      <w:r>
        <w:separator/>
      </w:r>
    </w:p>
  </w:endnote>
  <w:endnote w:type="continuationSeparator" w:id="0">
    <w:p w:rsidR="00F36C27" w:rsidRDefault="00F36C27" w:rsidP="00AB6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27" w:rsidRDefault="00F36C27" w:rsidP="00AB640B">
      <w:pPr>
        <w:spacing w:after="0" w:line="240" w:lineRule="auto"/>
      </w:pPr>
      <w:r>
        <w:separator/>
      </w:r>
    </w:p>
  </w:footnote>
  <w:footnote w:type="continuationSeparator" w:id="0">
    <w:p w:rsidR="00F36C27" w:rsidRDefault="00F36C27" w:rsidP="00AB6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692"/>
      <w:docPartObj>
        <w:docPartGallery w:val="Page Numbers (Top of Page)"/>
        <w:docPartUnique/>
      </w:docPartObj>
    </w:sdtPr>
    <w:sdtContent>
      <w:p w:rsidR="00AB640B" w:rsidRDefault="00346E5D">
        <w:pPr>
          <w:pStyle w:val="Zhlav"/>
          <w:jc w:val="center"/>
        </w:pPr>
        <w:fldSimple w:instr=" PAGE   \* MERGEFORMAT ">
          <w:r w:rsidR="000E7B3A">
            <w:rPr>
              <w:noProof/>
            </w:rPr>
            <w:t>2</w:t>
          </w:r>
        </w:fldSimple>
      </w:p>
    </w:sdtContent>
  </w:sdt>
  <w:p w:rsidR="00AB640B" w:rsidRDefault="00AB640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129"/>
    <w:multiLevelType w:val="hybridMultilevel"/>
    <w:tmpl w:val="39803F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822A9"/>
    <w:multiLevelType w:val="hybridMultilevel"/>
    <w:tmpl w:val="EE6081AE"/>
    <w:lvl w:ilvl="0" w:tplc="0405000B">
      <w:start w:val="1"/>
      <w:numFmt w:val="bullet"/>
      <w:lvlText w:val=""/>
      <w:lvlJc w:val="left"/>
      <w:pPr>
        <w:ind w:left="2340" w:hanging="360"/>
      </w:pPr>
      <w:rPr>
        <w:rFonts w:ascii="Wingdings" w:hAnsi="Wingdings"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2">
    <w:nsid w:val="05A65E5A"/>
    <w:multiLevelType w:val="hybridMultilevel"/>
    <w:tmpl w:val="E4AA07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AA7A0C"/>
    <w:multiLevelType w:val="hybridMultilevel"/>
    <w:tmpl w:val="F87061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3C515B"/>
    <w:multiLevelType w:val="multilevel"/>
    <w:tmpl w:val="41281E82"/>
    <w:lvl w:ilvl="0">
      <w:start w:val="1"/>
      <w:numFmt w:val="decimal"/>
      <w:lvlText w:val="%1."/>
      <w:lvlJc w:val="left"/>
      <w:pPr>
        <w:ind w:left="149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72372C6"/>
    <w:multiLevelType w:val="hybridMultilevel"/>
    <w:tmpl w:val="F2F408B8"/>
    <w:lvl w:ilvl="0" w:tplc="0405000B">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6">
    <w:nsid w:val="0B3176A3"/>
    <w:multiLevelType w:val="hybridMultilevel"/>
    <w:tmpl w:val="25E4E5BE"/>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7">
    <w:nsid w:val="0F3E74F8"/>
    <w:multiLevelType w:val="hybridMultilevel"/>
    <w:tmpl w:val="E4F05B78"/>
    <w:lvl w:ilvl="0" w:tplc="A65EDB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F32783"/>
    <w:multiLevelType w:val="hybridMultilevel"/>
    <w:tmpl w:val="195C4906"/>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nsid w:val="1B6A5933"/>
    <w:multiLevelType w:val="hybridMultilevel"/>
    <w:tmpl w:val="63A07226"/>
    <w:lvl w:ilvl="0" w:tplc="04050001">
      <w:start w:val="1"/>
      <w:numFmt w:val="bullet"/>
      <w:lvlText w:val=""/>
      <w:lvlJc w:val="left"/>
      <w:pPr>
        <w:ind w:left="3900" w:hanging="360"/>
      </w:pPr>
      <w:rPr>
        <w:rFonts w:ascii="Symbol" w:hAnsi="Symbo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0">
    <w:nsid w:val="211A24B5"/>
    <w:multiLevelType w:val="hybridMultilevel"/>
    <w:tmpl w:val="4B5C8B90"/>
    <w:lvl w:ilvl="0" w:tplc="0405000B">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1">
    <w:nsid w:val="28A44DC9"/>
    <w:multiLevelType w:val="hybridMultilevel"/>
    <w:tmpl w:val="24BCC9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B91770"/>
    <w:multiLevelType w:val="multilevel"/>
    <w:tmpl w:val="E8F8138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36D07AB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87726A"/>
    <w:multiLevelType w:val="hybridMultilevel"/>
    <w:tmpl w:val="C5642350"/>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39E37CCB"/>
    <w:multiLevelType w:val="hybridMultilevel"/>
    <w:tmpl w:val="7C647488"/>
    <w:lvl w:ilvl="0" w:tplc="07E059D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435674A3"/>
    <w:multiLevelType w:val="hybridMultilevel"/>
    <w:tmpl w:val="D7103E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B94D11"/>
    <w:multiLevelType w:val="hybridMultilevel"/>
    <w:tmpl w:val="23B893EA"/>
    <w:lvl w:ilvl="0" w:tplc="A65EDB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C06316"/>
    <w:multiLevelType w:val="hybridMultilevel"/>
    <w:tmpl w:val="0D748E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C0F7189"/>
    <w:multiLevelType w:val="hybridMultilevel"/>
    <w:tmpl w:val="AD52D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E75F39"/>
    <w:multiLevelType w:val="hybridMultilevel"/>
    <w:tmpl w:val="AB9636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3A5F39"/>
    <w:multiLevelType w:val="hybridMultilevel"/>
    <w:tmpl w:val="D88E5E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A6D1D44"/>
    <w:multiLevelType w:val="hybridMultilevel"/>
    <w:tmpl w:val="E654D818"/>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3">
    <w:nsid w:val="78FE694C"/>
    <w:multiLevelType w:val="hybridMultilevel"/>
    <w:tmpl w:val="A28EA412"/>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30461E"/>
    <w:multiLevelType w:val="hybridMultilevel"/>
    <w:tmpl w:val="FAE0FAD8"/>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5">
    <w:nsid w:val="7ED04CE0"/>
    <w:multiLevelType w:val="hybridMultilevel"/>
    <w:tmpl w:val="E8D015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4"/>
  </w:num>
  <w:num w:numId="5">
    <w:abstractNumId w:val="17"/>
  </w:num>
  <w:num w:numId="6">
    <w:abstractNumId w:val="23"/>
  </w:num>
  <w:num w:numId="7">
    <w:abstractNumId w:val="18"/>
  </w:num>
  <w:num w:numId="8">
    <w:abstractNumId w:val="19"/>
  </w:num>
  <w:num w:numId="9">
    <w:abstractNumId w:val="12"/>
  </w:num>
  <w:num w:numId="10">
    <w:abstractNumId w:val="6"/>
  </w:num>
  <w:num w:numId="11">
    <w:abstractNumId w:val="24"/>
  </w:num>
  <w:num w:numId="12">
    <w:abstractNumId w:val="8"/>
  </w:num>
  <w:num w:numId="13">
    <w:abstractNumId w:val="9"/>
  </w:num>
  <w:num w:numId="14">
    <w:abstractNumId w:val="14"/>
  </w:num>
  <w:num w:numId="15">
    <w:abstractNumId w:val="10"/>
  </w:num>
  <w:num w:numId="16">
    <w:abstractNumId w:val="16"/>
  </w:num>
  <w:num w:numId="17">
    <w:abstractNumId w:val="21"/>
  </w:num>
  <w:num w:numId="18">
    <w:abstractNumId w:val="5"/>
  </w:num>
  <w:num w:numId="19">
    <w:abstractNumId w:val="11"/>
  </w:num>
  <w:num w:numId="20">
    <w:abstractNumId w:val="3"/>
  </w:num>
  <w:num w:numId="21">
    <w:abstractNumId w:val="0"/>
  </w:num>
  <w:num w:numId="22">
    <w:abstractNumId w:val="22"/>
  </w:num>
  <w:num w:numId="23">
    <w:abstractNumId w:val="20"/>
  </w:num>
  <w:num w:numId="24">
    <w:abstractNumId w:val="1"/>
  </w:num>
  <w:num w:numId="25">
    <w:abstractNumId w:val="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4519"/>
    <w:rsid w:val="00044519"/>
    <w:rsid w:val="00091FAF"/>
    <w:rsid w:val="000E7B3A"/>
    <w:rsid w:val="00142B36"/>
    <w:rsid w:val="00271674"/>
    <w:rsid w:val="00293B1E"/>
    <w:rsid w:val="00345458"/>
    <w:rsid w:val="00346E5D"/>
    <w:rsid w:val="003719CF"/>
    <w:rsid w:val="003C1BD6"/>
    <w:rsid w:val="003C7C75"/>
    <w:rsid w:val="004E2086"/>
    <w:rsid w:val="00536FEA"/>
    <w:rsid w:val="00573DA5"/>
    <w:rsid w:val="006C75B9"/>
    <w:rsid w:val="00743DF5"/>
    <w:rsid w:val="007649DC"/>
    <w:rsid w:val="00833B2D"/>
    <w:rsid w:val="00850BA8"/>
    <w:rsid w:val="00896081"/>
    <w:rsid w:val="008B5C26"/>
    <w:rsid w:val="00941294"/>
    <w:rsid w:val="00941604"/>
    <w:rsid w:val="009B25AA"/>
    <w:rsid w:val="00A613EF"/>
    <w:rsid w:val="00AA031E"/>
    <w:rsid w:val="00AB640B"/>
    <w:rsid w:val="00B16932"/>
    <w:rsid w:val="00B44077"/>
    <w:rsid w:val="00B84A0F"/>
    <w:rsid w:val="00B85FCE"/>
    <w:rsid w:val="00B97398"/>
    <w:rsid w:val="00C46CAB"/>
    <w:rsid w:val="00C47A31"/>
    <w:rsid w:val="00CC4F10"/>
    <w:rsid w:val="00CF3B15"/>
    <w:rsid w:val="00D2556C"/>
    <w:rsid w:val="00D57AD3"/>
    <w:rsid w:val="00E05826"/>
    <w:rsid w:val="00EF7246"/>
    <w:rsid w:val="00F00D94"/>
    <w:rsid w:val="00F36C27"/>
    <w:rsid w:val="00FD02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5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4519"/>
    <w:pPr>
      <w:ind w:left="720"/>
      <w:contextualSpacing/>
    </w:pPr>
  </w:style>
  <w:style w:type="table" w:styleId="Mkatabulky">
    <w:name w:val="Table Grid"/>
    <w:basedOn w:val="Normlntabulka"/>
    <w:uiPriority w:val="39"/>
    <w:rsid w:val="00536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D57AD3"/>
    <w:pPr>
      <w:spacing w:after="0" w:line="240" w:lineRule="auto"/>
    </w:pPr>
  </w:style>
  <w:style w:type="paragraph" w:styleId="Zhlav">
    <w:name w:val="header"/>
    <w:basedOn w:val="Normln"/>
    <w:link w:val="ZhlavChar"/>
    <w:uiPriority w:val="99"/>
    <w:unhideWhenUsed/>
    <w:rsid w:val="00AB64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640B"/>
  </w:style>
  <w:style w:type="paragraph" w:styleId="Zpat">
    <w:name w:val="footer"/>
    <w:basedOn w:val="Normln"/>
    <w:link w:val="ZpatChar"/>
    <w:uiPriority w:val="99"/>
    <w:semiHidden/>
    <w:unhideWhenUsed/>
    <w:rsid w:val="00AB640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B640B"/>
  </w:style>
  <w:style w:type="paragraph" w:styleId="Textbubliny">
    <w:name w:val="Balloon Text"/>
    <w:basedOn w:val="Normln"/>
    <w:link w:val="TextbublinyChar"/>
    <w:uiPriority w:val="99"/>
    <w:semiHidden/>
    <w:unhideWhenUsed/>
    <w:rsid w:val="00AB64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6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81A7-AB3F-4BE4-88FA-F8F394D7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1492</Words>
  <Characters>8803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BNP Paribas</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xx</cp:lastModifiedBy>
  <cp:revision>9</cp:revision>
  <cp:lastPrinted>2017-02-15T06:56:00Z</cp:lastPrinted>
  <dcterms:created xsi:type="dcterms:W3CDTF">2017-02-14T11:34:00Z</dcterms:created>
  <dcterms:modified xsi:type="dcterms:W3CDTF">2017-03-15T13:28:00Z</dcterms:modified>
</cp:coreProperties>
</file>